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E87EA" w14:textId="3BB54386" w:rsidR="00A90D77" w:rsidRDefault="00833330" w:rsidP="00833330">
      <w:pPr>
        <w:pStyle w:val="Nagwek1"/>
        <w:spacing w:after="240"/>
      </w:pPr>
      <w:bookmarkStart w:id="0" w:name="_Toc136859756"/>
      <w:r>
        <w:t>NIEZBĘDNIK PRAWNY</w:t>
      </w:r>
      <w:r w:rsidR="00204264">
        <w:t>: HEJT ZABIJA – PORADNIK O CYBERPRZEMOCY</w:t>
      </w:r>
      <w:bookmarkEnd w:id="0"/>
    </w:p>
    <w:bookmarkStart w:id="1" w:name="_Toc136859757" w:displacedByCustomXml="next"/>
    <w:sdt>
      <w:sdtPr>
        <w:rPr>
          <w:rFonts w:eastAsiaTheme="minorHAnsi" w:cstheme="minorBidi"/>
          <w:b w:val="0"/>
          <w:color w:val="auto"/>
          <w:szCs w:val="22"/>
        </w:rPr>
        <w:id w:val="-75285443"/>
        <w:docPartObj>
          <w:docPartGallery w:val="Table of Contents"/>
          <w:docPartUnique/>
        </w:docPartObj>
      </w:sdtPr>
      <w:sdtEndPr>
        <w:rPr>
          <w:bCs/>
          <w:color w:val="2F5496" w:themeColor="accent1" w:themeShade="BF"/>
        </w:rPr>
      </w:sdtEndPr>
      <w:sdtContent>
        <w:p w14:paraId="6CA3080B" w14:textId="77777777" w:rsidR="00833330" w:rsidRPr="00F67A83" w:rsidRDefault="00833330" w:rsidP="00833330">
          <w:pPr>
            <w:pStyle w:val="Nagwek2"/>
            <w:spacing w:line="276" w:lineRule="auto"/>
            <w:rPr>
              <w:szCs w:val="20"/>
            </w:rPr>
          </w:pPr>
          <w:r w:rsidRPr="00D4377D">
            <w:t>Spis treści</w:t>
          </w:r>
          <w:bookmarkEnd w:id="1"/>
          <w:r>
            <w:br/>
          </w:r>
        </w:p>
        <w:p w14:paraId="3D0AFBFF" w14:textId="155108A2" w:rsidR="001912A3" w:rsidRDefault="00833330">
          <w:pPr>
            <w:pStyle w:val="Spistreci1"/>
            <w:rPr>
              <w:rFonts w:asciiTheme="minorHAnsi" w:eastAsiaTheme="minorEastAsia" w:hAnsiTheme="minorHAnsi"/>
              <w:b w:val="0"/>
              <w:bCs w:val="0"/>
              <w:kern w:val="2"/>
              <w:sz w:val="22"/>
              <w:lang w:eastAsia="pl-PL"/>
              <w14:ligatures w14:val="standardContextual"/>
            </w:rPr>
          </w:pPr>
          <w:r w:rsidRPr="005F4EF5">
            <w:rPr>
              <w:rFonts w:cs="Arial"/>
              <w:b w:val="0"/>
              <w:bCs w:val="0"/>
              <w:color w:val="2F5496" w:themeColor="accent1" w:themeShade="BF"/>
              <w:szCs w:val="20"/>
            </w:rPr>
            <w:fldChar w:fldCharType="begin"/>
          </w:r>
          <w:r w:rsidRPr="005F4EF5">
            <w:rPr>
              <w:rFonts w:cs="Arial"/>
              <w:color w:val="2F5496" w:themeColor="accent1" w:themeShade="BF"/>
              <w:szCs w:val="20"/>
            </w:rPr>
            <w:instrText xml:space="preserve"> TOC \o "1-3" \h \z \u </w:instrText>
          </w:r>
          <w:r w:rsidRPr="005F4EF5">
            <w:rPr>
              <w:rFonts w:cs="Arial"/>
              <w:b w:val="0"/>
              <w:bCs w:val="0"/>
              <w:color w:val="2F5496" w:themeColor="accent1" w:themeShade="BF"/>
              <w:szCs w:val="20"/>
            </w:rPr>
            <w:fldChar w:fldCharType="separate"/>
          </w:r>
          <w:hyperlink w:anchor="_Toc136859756" w:history="1">
            <w:r w:rsidR="001912A3" w:rsidRPr="002A6002">
              <w:rPr>
                <w:rStyle w:val="Hipercze"/>
              </w:rPr>
              <w:t>NIEZBĘDNIK PRAWNY: HEJT ZABIJA – PORADNIK O CYBERPRZEMOCY</w:t>
            </w:r>
            <w:r w:rsidR="001912A3">
              <w:rPr>
                <w:webHidden/>
              </w:rPr>
              <w:tab/>
            </w:r>
            <w:r w:rsidR="001912A3">
              <w:rPr>
                <w:webHidden/>
              </w:rPr>
              <w:fldChar w:fldCharType="begin"/>
            </w:r>
            <w:r w:rsidR="001912A3">
              <w:rPr>
                <w:webHidden/>
              </w:rPr>
              <w:instrText xml:space="preserve"> PAGEREF _Toc136859756 \h </w:instrText>
            </w:r>
            <w:r w:rsidR="001912A3">
              <w:rPr>
                <w:webHidden/>
              </w:rPr>
            </w:r>
            <w:r w:rsidR="001912A3">
              <w:rPr>
                <w:webHidden/>
              </w:rPr>
              <w:fldChar w:fldCharType="separate"/>
            </w:r>
            <w:r w:rsidR="001912A3">
              <w:rPr>
                <w:webHidden/>
              </w:rPr>
              <w:t>2</w:t>
            </w:r>
            <w:r w:rsidR="001912A3">
              <w:rPr>
                <w:webHidden/>
              </w:rPr>
              <w:fldChar w:fldCharType="end"/>
            </w:r>
          </w:hyperlink>
        </w:p>
        <w:p w14:paraId="6972410C" w14:textId="53AD7363" w:rsidR="001912A3" w:rsidRDefault="00000000">
          <w:pPr>
            <w:pStyle w:val="Spistreci2"/>
            <w:tabs>
              <w:tab w:val="right" w:leader="dot" w:pos="6509"/>
            </w:tabs>
            <w:rPr>
              <w:rFonts w:asciiTheme="minorHAnsi" w:eastAsiaTheme="minorEastAsia" w:hAnsiTheme="minorHAnsi"/>
              <w:noProof/>
              <w:kern w:val="2"/>
              <w:sz w:val="22"/>
              <w:lang w:eastAsia="pl-PL"/>
              <w14:ligatures w14:val="standardContextual"/>
            </w:rPr>
          </w:pPr>
          <w:hyperlink w:anchor="_Toc136859757" w:history="1">
            <w:r w:rsidR="001912A3" w:rsidRPr="002A6002">
              <w:rPr>
                <w:rStyle w:val="Hipercze"/>
                <w:noProof/>
              </w:rPr>
              <w:t>Spis treści</w:t>
            </w:r>
            <w:r w:rsidR="001912A3">
              <w:rPr>
                <w:noProof/>
                <w:webHidden/>
              </w:rPr>
              <w:tab/>
            </w:r>
            <w:r w:rsidR="001912A3">
              <w:rPr>
                <w:noProof/>
                <w:webHidden/>
              </w:rPr>
              <w:fldChar w:fldCharType="begin"/>
            </w:r>
            <w:r w:rsidR="001912A3">
              <w:rPr>
                <w:noProof/>
                <w:webHidden/>
              </w:rPr>
              <w:instrText xml:space="preserve"> PAGEREF _Toc136859757 \h </w:instrText>
            </w:r>
            <w:r w:rsidR="001912A3">
              <w:rPr>
                <w:noProof/>
                <w:webHidden/>
              </w:rPr>
            </w:r>
            <w:r w:rsidR="001912A3">
              <w:rPr>
                <w:noProof/>
                <w:webHidden/>
              </w:rPr>
              <w:fldChar w:fldCharType="separate"/>
            </w:r>
            <w:r w:rsidR="001912A3">
              <w:rPr>
                <w:noProof/>
                <w:webHidden/>
              </w:rPr>
              <w:t>2</w:t>
            </w:r>
            <w:r w:rsidR="001912A3">
              <w:rPr>
                <w:noProof/>
                <w:webHidden/>
              </w:rPr>
              <w:fldChar w:fldCharType="end"/>
            </w:r>
          </w:hyperlink>
        </w:p>
        <w:p w14:paraId="5F365A46" w14:textId="293DE847" w:rsidR="001912A3" w:rsidRDefault="00000000">
          <w:pPr>
            <w:pStyle w:val="Spistreci2"/>
            <w:tabs>
              <w:tab w:val="left" w:pos="660"/>
              <w:tab w:val="right" w:leader="dot" w:pos="6509"/>
            </w:tabs>
            <w:rPr>
              <w:rFonts w:asciiTheme="minorHAnsi" w:eastAsiaTheme="minorEastAsia" w:hAnsiTheme="minorHAnsi"/>
              <w:noProof/>
              <w:kern w:val="2"/>
              <w:sz w:val="22"/>
              <w:lang w:eastAsia="pl-PL"/>
              <w14:ligatures w14:val="standardContextual"/>
            </w:rPr>
          </w:pPr>
          <w:hyperlink w:anchor="_Toc136859758" w:history="1">
            <w:r w:rsidR="001912A3" w:rsidRPr="002A6002">
              <w:rPr>
                <w:rStyle w:val="Hipercze"/>
                <w:noProof/>
              </w:rPr>
              <w:t>I.</w:t>
            </w:r>
            <w:r w:rsidR="001912A3">
              <w:rPr>
                <w:rFonts w:asciiTheme="minorHAnsi" w:eastAsiaTheme="minorEastAsia" w:hAnsiTheme="minorHAnsi"/>
                <w:noProof/>
                <w:kern w:val="2"/>
                <w:sz w:val="22"/>
                <w:lang w:eastAsia="pl-PL"/>
                <w14:ligatures w14:val="standardContextual"/>
              </w:rPr>
              <w:tab/>
            </w:r>
            <w:r w:rsidR="001912A3" w:rsidRPr="002A6002">
              <w:rPr>
                <w:rStyle w:val="Hipercze"/>
                <w:noProof/>
              </w:rPr>
              <w:t>Hejt – czym jest?</w:t>
            </w:r>
            <w:r w:rsidR="001912A3">
              <w:rPr>
                <w:noProof/>
                <w:webHidden/>
              </w:rPr>
              <w:tab/>
            </w:r>
            <w:r w:rsidR="001912A3">
              <w:rPr>
                <w:noProof/>
                <w:webHidden/>
              </w:rPr>
              <w:fldChar w:fldCharType="begin"/>
            </w:r>
            <w:r w:rsidR="001912A3">
              <w:rPr>
                <w:noProof/>
                <w:webHidden/>
              </w:rPr>
              <w:instrText xml:space="preserve"> PAGEREF _Toc136859758 \h </w:instrText>
            </w:r>
            <w:r w:rsidR="001912A3">
              <w:rPr>
                <w:noProof/>
                <w:webHidden/>
              </w:rPr>
            </w:r>
            <w:r w:rsidR="001912A3">
              <w:rPr>
                <w:noProof/>
                <w:webHidden/>
              </w:rPr>
              <w:fldChar w:fldCharType="separate"/>
            </w:r>
            <w:r w:rsidR="001912A3">
              <w:rPr>
                <w:noProof/>
                <w:webHidden/>
              </w:rPr>
              <w:t>2</w:t>
            </w:r>
            <w:r w:rsidR="001912A3">
              <w:rPr>
                <w:noProof/>
                <w:webHidden/>
              </w:rPr>
              <w:fldChar w:fldCharType="end"/>
            </w:r>
          </w:hyperlink>
        </w:p>
        <w:p w14:paraId="4332255E" w14:textId="56A8624A" w:rsidR="001912A3" w:rsidRDefault="00000000">
          <w:pPr>
            <w:pStyle w:val="Spistreci2"/>
            <w:tabs>
              <w:tab w:val="left" w:pos="660"/>
              <w:tab w:val="right" w:leader="dot" w:pos="6509"/>
            </w:tabs>
            <w:rPr>
              <w:rFonts w:asciiTheme="minorHAnsi" w:eastAsiaTheme="minorEastAsia" w:hAnsiTheme="minorHAnsi"/>
              <w:noProof/>
              <w:kern w:val="2"/>
              <w:sz w:val="22"/>
              <w:lang w:eastAsia="pl-PL"/>
              <w14:ligatures w14:val="standardContextual"/>
            </w:rPr>
          </w:pPr>
          <w:hyperlink w:anchor="_Toc136859759" w:history="1">
            <w:r w:rsidR="001912A3" w:rsidRPr="002A6002">
              <w:rPr>
                <w:rStyle w:val="Hipercze"/>
                <w:noProof/>
              </w:rPr>
              <w:t>II.</w:t>
            </w:r>
            <w:r w:rsidR="001912A3">
              <w:rPr>
                <w:rFonts w:asciiTheme="minorHAnsi" w:eastAsiaTheme="minorEastAsia" w:hAnsiTheme="minorHAnsi"/>
                <w:noProof/>
                <w:kern w:val="2"/>
                <w:sz w:val="22"/>
                <w:lang w:eastAsia="pl-PL"/>
                <w14:ligatures w14:val="standardContextual"/>
              </w:rPr>
              <w:tab/>
            </w:r>
            <w:r w:rsidR="001912A3" w:rsidRPr="002A6002">
              <w:rPr>
                <w:rStyle w:val="Hipercze"/>
                <w:noProof/>
              </w:rPr>
              <w:t>Hejt – konsekwencje prawne</w:t>
            </w:r>
            <w:r w:rsidR="001912A3">
              <w:rPr>
                <w:noProof/>
                <w:webHidden/>
              </w:rPr>
              <w:tab/>
            </w:r>
            <w:r w:rsidR="001912A3">
              <w:rPr>
                <w:noProof/>
                <w:webHidden/>
              </w:rPr>
              <w:fldChar w:fldCharType="begin"/>
            </w:r>
            <w:r w:rsidR="001912A3">
              <w:rPr>
                <w:noProof/>
                <w:webHidden/>
              </w:rPr>
              <w:instrText xml:space="preserve"> PAGEREF _Toc136859759 \h </w:instrText>
            </w:r>
            <w:r w:rsidR="001912A3">
              <w:rPr>
                <w:noProof/>
                <w:webHidden/>
              </w:rPr>
            </w:r>
            <w:r w:rsidR="001912A3">
              <w:rPr>
                <w:noProof/>
                <w:webHidden/>
              </w:rPr>
              <w:fldChar w:fldCharType="separate"/>
            </w:r>
            <w:r w:rsidR="001912A3">
              <w:rPr>
                <w:noProof/>
                <w:webHidden/>
              </w:rPr>
              <w:t>3</w:t>
            </w:r>
            <w:r w:rsidR="001912A3">
              <w:rPr>
                <w:noProof/>
                <w:webHidden/>
              </w:rPr>
              <w:fldChar w:fldCharType="end"/>
            </w:r>
          </w:hyperlink>
        </w:p>
        <w:p w14:paraId="75D05D3D" w14:textId="756D5C40" w:rsidR="001912A3" w:rsidRDefault="00000000">
          <w:pPr>
            <w:pStyle w:val="Spistreci3"/>
            <w:tabs>
              <w:tab w:val="left" w:pos="880"/>
              <w:tab w:val="right" w:leader="dot" w:pos="6509"/>
            </w:tabs>
            <w:rPr>
              <w:rFonts w:cstheme="minorBidi"/>
              <w:noProof/>
              <w:kern w:val="2"/>
              <w14:ligatures w14:val="standardContextual"/>
            </w:rPr>
          </w:pPr>
          <w:hyperlink w:anchor="_Toc136859760" w:history="1">
            <w:r w:rsidR="001912A3" w:rsidRPr="002A6002">
              <w:rPr>
                <w:rStyle w:val="Hipercze"/>
                <w:noProof/>
              </w:rPr>
              <w:t>1.</w:t>
            </w:r>
            <w:r w:rsidR="001912A3">
              <w:rPr>
                <w:rFonts w:cstheme="minorBidi"/>
                <w:noProof/>
                <w:kern w:val="2"/>
                <w14:ligatures w14:val="standardContextual"/>
              </w:rPr>
              <w:tab/>
            </w:r>
            <w:r w:rsidR="001912A3" w:rsidRPr="002A6002">
              <w:rPr>
                <w:rStyle w:val="Hipercze"/>
                <w:noProof/>
              </w:rPr>
              <w:t>Odpowiedzialność karna</w:t>
            </w:r>
            <w:r w:rsidR="001912A3">
              <w:rPr>
                <w:noProof/>
                <w:webHidden/>
              </w:rPr>
              <w:tab/>
            </w:r>
            <w:r w:rsidR="001912A3">
              <w:rPr>
                <w:noProof/>
                <w:webHidden/>
              </w:rPr>
              <w:fldChar w:fldCharType="begin"/>
            </w:r>
            <w:r w:rsidR="001912A3">
              <w:rPr>
                <w:noProof/>
                <w:webHidden/>
              </w:rPr>
              <w:instrText xml:space="preserve"> PAGEREF _Toc136859760 \h </w:instrText>
            </w:r>
            <w:r w:rsidR="001912A3">
              <w:rPr>
                <w:noProof/>
                <w:webHidden/>
              </w:rPr>
            </w:r>
            <w:r w:rsidR="001912A3">
              <w:rPr>
                <w:noProof/>
                <w:webHidden/>
              </w:rPr>
              <w:fldChar w:fldCharType="separate"/>
            </w:r>
            <w:r w:rsidR="001912A3">
              <w:rPr>
                <w:noProof/>
                <w:webHidden/>
              </w:rPr>
              <w:t>3</w:t>
            </w:r>
            <w:r w:rsidR="001912A3">
              <w:rPr>
                <w:noProof/>
                <w:webHidden/>
              </w:rPr>
              <w:fldChar w:fldCharType="end"/>
            </w:r>
          </w:hyperlink>
        </w:p>
        <w:p w14:paraId="5595E20C" w14:textId="7F989F5C" w:rsidR="001912A3" w:rsidRDefault="00000000">
          <w:pPr>
            <w:pStyle w:val="Spistreci3"/>
            <w:tabs>
              <w:tab w:val="left" w:pos="880"/>
              <w:tab w:val="right" w:leader="dot" w:pos="6509"/>
            </w:tabs>
            <w:rPr>
              <w:rFonts w:cstheme="minorBidi"/>
              <w:noProof/>
              <w:kern w:val="2"/>
              <w14:ligatures w14:val="standardContextual"/>
            </w:rPr>
          </w:pPr>
          <w:hyperlink w:anchor="_Toc136859761" w:history="1">
            <w:r w:rsidR="001912A3" w:rsidRPr="002A6002">
              <w:rPr>
                <w:rStyle w:val="Hipercze"/>
                <w:noProof/>
              </w:rPr>
              <w:t>2.</w:t>
            </w:r>
            <w:r w:rsidR="001912A3">
              <w:rPr>
                <w:rFonts w:cstheme="minorBidi"/>
                <w:noProof/>
                <w:kern w:val="2"/>
                <w14:ligatures w14:val="standardContextual"/>
              </w:rPr>
              <w:tab/>
            </w:r>
            <w:r w:rsidR="001912A3" w:rsidRPr="002A6002">
              <w:rPr>
                <w:rStyle w:val="Hipercze"/>
                <w:noProof/>
              </w:rPr>
              <w:t>Odpowiedzialność karna osób niepełnoletnich</w:t>
            </w:r>
            <w:r w:rsidR="001912A3">
              <w:rPr>
                <w:noProof/>
                <w:webHidden/>
              </w:rPr>
              <w:tab/>
            </w:r>
            <w:r w:rsidR="001912A3">
              <w:rPr>
                <w:noProof/>
                <w:webHidden/>
              </w:rPr>
              <w:fldChar w:fldCharType="begin"/>
            </w:r>
            <w:r w:rsidR="001912A3">
              <w:rPr>
                <w:noProof/>
                <w:webHidden/>
              </w:rPr>
              <w:instrText xml:space="preserve"> PAGEREF _Toc136859761 \h </w:instrText>
            </w:r>
            <w:r w:rsidR="001912A3">
              <w:rPr>
                <w:noProof/>
                <w:webHidden/>
              </w:rPr>
            </w:r>
            <w:r w:rsidR="001912A3">
              <w:rPr>
                <w:noProof/>
                <w:webHidden/>
              </w:rPr>
              <w:fldChar w:fldCharType="separate"/>
            </w:r>
            <w:r w:rsidR="001912A3">
              <w:rPr>
                <w:noProof/>
                <w:webHidden/>
              </w:rPr>
              <w:t>5</w:t>
            </w:r>
            <w:r w:rsidR="001912A3">
              <w:rPr>
                <w:noProof/>
                <w:webHidden/>
              </w:rPr>
              <w:fldChar w:fldCharType="end"/>
            </w:r>
          </w:hyperlink>
        </w:p>
        <w:p w14:paraId="720DCDFC" w14:textId="5828B3A2" w:rsidR="001912A3" w:rsidRDefault="00000000">
          <w:pPr>
            <w:pStyle w:val="Spistreci3"/>
            <w:tabs>
              <w:tab w:val="left" w:pos="880"/>
              <w:tab w:val="right" w:leader="dot" w:pos="6509"/>
            </w:tabs>
            <w:rPr>
              <w:rFonts w:cstheme="minorBidi"/>
              <w:noProof/>
              <w:kern w:val="2"/>
              <w14:ligatures w14:val="standardContextual"/>
            </w:rPr>
          </w:pPr>
          <w:hyperlink w:anchor="_Toc136859762" w:history="1">
            <w:r w:rsidR="001912A3" w:rsidRPr="002A6002">
              <w:rPr>
                <w:rStyle w:val="Hipercze"/>
                <w:noProof/>
              </w:rPr>
              <w:t>3.</w:t>
            </w:r>
            <w:r w:rsidR="001912A3">
              <w:rPr>
                <w:rFonts w:cstheme="minorBidi"/>
                <w:noProof/>
                <w:kern w:val="2"/>
                <w14:ligatures w14:val="standardContextual"/>
              </w:rPr>
              <w:tab/>
            </w:r>
            <w:r w:rsidR="001912A3" w:rsidRPr="002A6002">
              <w:rPr>
                <w:rStyle w:val="Hipercze"/>
                <w:noProof/>
              </w:rPr>
              <w:t>Jakie konsekwencje przewiduje ustawa o postępowaniu w sprawach nieletnich?</w:t>
            </w:r>
            <w:r w:rsidR="001912A3">
              <w:rPr>
                <w:noProof/>
                <w:webHidden/>
              </w:rPr>
              <w:tab/>
            </w:r>
            <w:r w:rsidR="001912A3">
              <w:rPr>
                <w:noProof/>
                <w:webHidden/>
              </w:rPr>
              <w:fldChar w:fldCharType="begin"/>
            </w:r>
            <w:r w:rsidR="001912A3">
              <w:rPr>
                <w:noProof/>
                <w:webHidden/>
              </w:rPr>
              <w:instrText xml:space="preserve"> PAGEREF _Toc136859762 \h </w:instrText>
            </w:r>
            <w:r w:rsidR="001912A3">
              <w:rPr>
                <w:noProof/>
                <w:webHidden/>
              </w:rPr>
            </w:r>
            <w:r w:rsidR="001912A3">
              <w:rPr>
                <w:noProof/>
                <w:webHidden/>
              </w:rPr>
              <w:fldChar w:fldCharType="separate"/>
            </w:r>
            <w:r w:rsidR="001912A3">
              <w:rPr>
                <w:noProof/>
                <w:webHidden/>
              </w:rPr>
              <w:t>6</w:t>
            </w:r>
            <w:r w:rsidR="001912A3">
              <w:rPr>
                <w:noProof/>
                <w:webHidden/>
              </w:rPr>
              <w:fldChar w:fldCharType="end"/>
            </w:r>
          </w:hyperlink>
        </w:p>
        <w:p w14:paraId="16A41E68" w14:textId="6029E880" w:rsidR="001912A3" w:rsidRDefault="00000000">
          <w:pPr>
            <w:pStyle w:val="Spistreci3"/>
            <w:tabs>
              <w:tab w:val="left" w:pos="880"/>
              <w:tab w:val="right" w:leader="dot" w:pos="6509"/>
            </w:tabs>
            <w:rPr>
              <w:rFonts w:cstheme="minorBidi"/>
              <w:noProof/>
              <w:kern w:val="2"/>
              <w14:ligatures w14:val="standardContextual"/>
            </w:rPr>
          </w:pPr>
          <w:hyperlink w:anchor="_Toc136859763" w:history="1">
            <w:r w:rsidR="001912A3" w:rsidRPr="002A6002">
              <w:rPr>
                <w:rStyle w:val="Hipercze"/>
                <w:noProof/>
              </w:rPr>
              <w:t>4.</w:t>
            </w:r>
            <w:r w:rsidR="001912A3">
              <w:rPr>
                <w:rFonts w:cstheme="minorBidi"/>
                <w:noProof/>
                <w:kern w:val="2"/>
                <w14:ligatures w14:val="standardContextual"/>
              </w:rPr>
              <w:tab/>
            </w:r>
            <w:r w:rsidR="001912A3" w:rsidRPr="002A6002">
              <w:rPr>
                <w:rStyle w:val="Hipercze"/>
                <w:noProof/>
              </w:rPr>
              <w:t>Gdzie i komu zgłaszać hejt?</w:t>
            </w:r>
            <w:r w:rsidR="001912A3">
              <w:rPr>
                <w:noProof/>
                <w:webHidden/>
              </w:rPr>
              <w:tab/>
            </w:r>
            <w:r w:rsidR="001912A3">
              <w:rPr>
                <w:noProof/>
                <w:webHidden/>
              </w:rPr>
              <w:fldChar w:fldCharType="begin"/>
            </w:r>
            <w:r w:rsidR="001912A3">
              <w:rPr>
                <w:noProof/>
                <w:webHidden/>
              </w:rPr>
              <w:instrText xml:space="preserve"> PAGEREF _Toc136859763 \h </w:instrText>
            </w:r>
            <w:r w:rsidR="001912A3">
              <w:rPr>
                <w:noProof/>
                <w:webHidden/>
              </w:rPr>
            </w:r>
            <w:r w:rsidR="001912A3">
              <w:rPr>
                <w:noProof/>
                <w:webHidden/>
              </w:rPr>
              <w:fldChar w:fldCharType="separate"/>
            </w:r>
            <w:r w:rsidR="001912A3">
              <w:rPr>
                <w:noProof/>
                <w:webHidden/>
              </w:rPr>
              <w:t>7</w:t>
            </w:r>
            <w:r w:rsidR="001912A3">
              <w:rPr>
                <w:noProof/>
                <w:webHidden/>
              </w:rPr>
              <w:fldChar w:fldCharType="end"/>
            </w:r>
          </w:hyperlink>
        </w:p>
        <w:p w14:paraId="312F37F3" w14:textId="660F1E6D" w:rsidR="001912A3" w:rsidRDefault="00000000">
          <w:pPr>
            <w:pStyle w:val="Spistreci3"/>
            <w:tabs>
              <w:tab w:val="left" w:pos="880"/>
              <w:tab w:val="right" w:leader="dot" w:pos="6509"/>
            </w:tabs>
            <w:rPr>
              <w:rFonts w:cstheme="minorBidi"/>
              <w:noProof/>
              <w:kern w:val="2"/>
              <w14:ligatures w14:val="standardContextual"/>
            </w:rPr>
          </w:pPr>
          <w:hyperlink w:anchor="_Toc136859764" w:history="1">
            <w:r w:rsidR="001912A3" w:rsidRPr="002A6002">
              <w:rPr>
                <w:rStyle w:val="Hipercze"/>
                <w:noProof/>
              </w:rPr>
              <w:t>5.</w:t>
            </w:r>
            <w:r w:rsidR="001912A3">
              <w:rPr>
                <w:rFonts w:cstheme="minorBidi"/>
                <w:noProof/>
                <w:kern w:val="2"/>
                <w14:ligatures w14:val="standardContextual"/>
              </w:rPr>
              <w:tab/>
            </w:r>
            <w:r w:rsidR="001912A3" w:rsidRPr="002A6002">
              <w:rPr>
                <w:rStyle w:val="Hipercze"/>
                <w:noProof/>
              </w:rPr>
              <w:t>Odpowiedzialność cywilna</w:t>
            </w:r>
            <w:r w:rsidR="001912A3">
              <w:rPr>
                <w:noProof/>
                <w:webHidden/>
              </w:rPr>
              <w:tab/>
            </w:r>
            <w:r w:rsidR="001912A3">
              <w:rPr>
                <w:noProof/>
                <w:webHidden/>
              </w:rPr>
              <w:fldChar w:fldCharType="begin"/>
            </w:r>
            <w:r w:rsidR="001912A3">
              <w:rPr>
                <w:noProof/>
                <w:webHidden/>
              </w:rPr>
              <w:instrText xml:space="preserve"> PAGEREF _Toc136859764 \h </w:instrText>
            </w:r>
            <w:r w:rsidR="001912A3">
              <w:rPr>
                <w:noProof/>
                <w:webHidden/>
              </w:rPr>
            </w:r>
            <w:r w:rsidR="001912A3">
              <w:rPr>
                <w:noProof/>
                <w:webHidden/>
              </w:rPr>
              <w:fldChar w:fldCharType="separate"/>
            </w:r>
            <w:r w:rsidR="001912A3">
              <w:rPr>
                <w:noProof/>
                <w:webHidden/>
              </w:rPr>
              <w:t>8</w:t>
            </w:r>
            <w:r w:rsidR="001912A3">
              <w:rPr>
                <w:noProof/>
                <w:webHidden/>
              </w:rPr>
              <w:fldChar w:fldCharType="end"/>
            </w:r>
          </w:hyperlink>
        </w:p>
        <w:p w14:paraId="7B8239A5" w14:textId="357CB01B" w:rsidR="001912A3" w:rsidRDefault="00000000">
          <w:pPr>
            <w:pStyle w:val="Spistreci3"/>
            <w:tabs>
              <w:tab w:val="left" w:pos="880"/>
              <w:tab w:val="right" w:leader="dot" w:pos="6509"/>
            </w:tabs>
            <w:rPr>
              <w:rFonts w:cstheme="minorBidi"/>
              <w:noProof/>
              <w:kern w:val="2"/>
              <w14:ligatures w14:val="standardContextual"/>
            </w:rPr>
          </w:pPr>
          <w:hyperlink w:anchor="_Toc136859765" w:history="1">
            <w:r w:rsidR="001912A3" w:rsidRPr="002A6002">
              <w:rPr>
                <w:rStyle w:val="Hipercze"/>
                <w:noProof/>
              </w:rPr>
              <w:t>6.</w:t>
            </w:r>
            <w:r w:rsidR="001912A3">
              <w:rPr>
                <w:rFonts w:cstheme="minorBidi"/>
                <w:noProof/>
                <w:kern w:val="2"/>
                <w14:ligatures w14:val="standardContextual"/>
              </w:rPr>
              <w:tab/>
            </w:r>
            <w:r w:rsidR="001912A3" w:rsidRPr="002A6002">
              <w:rPr>
                <w:rStyle w:val="Hipercze"/>
                <w:noProof/>
              </w:rPr>
              <w:t>Czym są dobra osobiste?</w:t>
            </w:r>
            <w:r w:rsidR="001912A3">
              <w:rPr>
                <w:noProof/>
                <w:webHidden/>
              </w:rPr>
              <w:tab/>
            </w:r>
            <w:r w:rsidR="001912A3">
              <w:rPr>
                <w:noProof/>
                <w:webHidden/>
              </w:rPr>
              <w:fldChar w:fldCharType="begin"/>
            </w:r>
            <w:r w:rsidR="001912A3">
              <w:rPr>
                <w:noProof/>
                <w:webHidden/>
              </w:rPr>
              <w:instrText xml:space="preserve"> PAGEREF _Toc136859765 \h </w:instrText>
            </w:r>
            <w:r w:rsidR="001912A3">
              <w:rPr>
                <w:noProof/>
                <w:webHidden/>
              </w:rPr>
            </w:r>
            <w:r w:rsidR="001912A3">
              <w:rPr>
                <w:noProof/>
                <w:webHidden/>
              </w:rPr>
              <w:fldChar w:fldCharType="separate"/>
            </w:r>
            <w:r w:rsidR="001912A3">
              <w:rPr>
                <w:noProof/>
                <w:webHidden/>
              </w:rPr>
              <w:t>9</w:t>
            </w:r>
            <w:r w:rsidR="001912A3">
              <w:rPr>
                <w:noProof/>
                <w:webHidden/>
              </w:rPr>
              <w:fldChar w:fldCharType="end"/>
            </w:r>
          </w:hyperlink>
        </w:p>
        <w:p w14:paraId="4DEA5D03" w14:textId="55374553" w:rsidR="001912A3" w:rsidRDefault="00000000">
          <w:pPr>
            <w:pStyle w:val="Spistreci3"/>
            <w:tabs>
              <w:tab w:val="left" w:pos="880"/>
              <w:tab w:val="right" w:leader="dot" w:pos="6509"/>
            </w:tabs>
            <w:rPr>
              <w:rFonts w:cstheme="minorBidi"/>
              <w:noProof/>
              <w:kern w:val="2"/>
              <w14:ligatures w14:val="standardContextual"/>
            </w:rPr>
          </w:pPr>
          <w:hyperlink w:anchor="_Toc136859766" w:history="1">
            <w:r w:rsidR="001912A3" w:rsidRPr="002A6002">
              <w:rPr>
                <w:rStyle w:val="Hipercze"/>
                <w:noProof/>
              </w:rPr>
              <w:t>7.</w:t>
            </w:r>
            <w:r w:rsidR="001912A3">
              <w:rPr>
                <w:rFonts w:cstheme="minorBidi"/>
                <w:noProof/>
                <w:kern w:val="2"/>
                <w14:ligatures w14:val="standardContextual"/>
              </w:rPr>
              <w:tab/>
            </w:r>
            <w:r w:rsidR="001912A3" w:rsidRPr="002A6002">
              <w:rPr>
                <w:rStyle w:val="Hipercze"/>
                <w:noProof/>
              </w:rPr>
              <w:t>Gdzie zainicjować sprawę cywilną o ochronę dóbr osobistych?</w:t>
            </w:r>
            <w:r w:rsidR="001912A3">
              <w:rPr>
                <w:noProof/>
                <w:webHidden/>
              </w:rPr>
              <w:tab/>
            </w:r>
            <w:r w:rsidR="001912A3">
              <w:rPr>
                <w:noProof/>
                <w:webHidden/>
              </w:rPr>
              <w:fldChar w:fldCharType="begin"/>
            </w:r>
            <w:r w:rsidR="001912A3">
              <w:rPr>
                <w:noProof/>
                <w:webHidden/>
              </w:rPr>
              <w:instrText xml:space="preserve"> PAGEREF _Toc136859766 \h </w:instrText>
            </w:r>
            <w:r w:rsidR="001912A3">
              <w:rPr>
                <w:noProof/>
                <w:webHidden/>
              </w:rPr>
            </w:r>
            <w:r w:rsidR="001912A3">
              <w:rPr>
                <w:noProof/>
                <w:webHidden/>
              </w:rPr>
              <w:fldChar w:fldCharType="separate"/>
            </w:r>
            <w:r w:rsidR="001912A3">
              <w:rPr>
                <w:noProof/>
                <w:webHidden/>
              </w:rPr>
              <w:t>9</w:t>
            </w:r>
            <w:r w:rsidR="001912A3">
              <w:rPr>
                <w:noProof/>
                <w:webHidden/>
              </w:rPr>
              <w:fldChar w:fldCharType="end"/>
            </w:r>
          </w:hyperlink>
        </w:p>
        <w:p w14:paraId="32FF0F7C" w14:textId="6696D6E3" w:rsidR="001912A3" w:rsidRDefault="00000000">
          <w:pPr>
            <w:pStyle w:val="Spistreci2"/>
            <w:tabs>
              <w:tab w:val="right" w:leader="dot" w:pos="6509"/>
            </w:tabs>
            <w:rPr>
              <w:rFonts w:asciiTheme="minorHAnsi" w:eastAsiaTheme="minorEastAsia" w:hAnsiTheme="minorHAnsi"/>
              <w:noProof/>
              <w:kern w:val="2"/>
              <w:sz w:val="22"/>
              <w:lang w:eastAsia="pl-PL"/>
              <w14:ligatures w14:val="standardContextual"/>
            </w:rPr>
          </w:pPr>
          <w:hyperlink w:anchor="_Toc136859767" w:history="1">
            <w:r w:rsidR="001912A3" w:rsidRPr="002A6002">
              <w:rPr>
                <w:rStyle w:val="Hipercze"/>
                <w:noProof/>
              </w:rPr>
              <w:t>Stowarzyszenie "Dogma" zaprasza do punktów poradniczych prowadzonych w Powiecie Pszczyńskim</w:t>
            </w:r>
            <w:r w:rsidR="001912A3">
              <w:rPr>
                <w:noProof/>
                <w:webHidden/>
              </w:rPr>
              <w:tab/>
            </w:r>
            <w:r w:rsidR="001912A3">
              <w:rPr>
                <w:noProof/>
                <w:webHidden/>
              </w:rPr>
              <w:fldChar w:fldCharType="begin"/>
            </w:r>
            <w:r w:rsidR="001912A3">
              <w:rPr>
                <w:noProof/>
                <w:webHidden/>
              </w:rPr>
              <w:instrText xml:space="preserve"> PAGEREF _Toc136859767 \h </w:instrText>
            </w:r>
            <w:r w:rsidR="001912A3">
              <w:rPr>
                <w:noProof/>
                <w:webHidden/>
              </w:rPr>
            </w:r>
            <w:r w:rsidR="001912A3">
              <w:rPr>
                <w:noProof/>
                <w:webHidden/>
              </w:rPr>
              <w:fldChar w:fldCharType="separate"/>
            </w:r>
            <w:r w:rsidR="001912A3">
              <w:rPr>
                <w:noProof/>
                <w:webHidden/>
              </w:rPr>
              <w:t>10</w:t>
            </w:r>
            <w:r w:rsidR="001912A3">
              <w:rPr>
                <w:noProof/>
                <w:webHidden/>
              </w:rPr>
              <w:fldChar w:fldCharType="end"/>
            </w:r>
          </w:hyperlink>
        </w:p>
        <w:p w14:paraId="7E01E840" w14:textId="428893F6" w:rsidR="001912A3" w:rsidRDefault="00000000">
          <w:pPr>
            <w:pStyle w:val="Spistreci2"/>
            <w:tabs>
              <w:tab w:val="right" w:leader="dot" w:pos="6509"/>
            </w:tabs>
            <w:rPr>
              <w:rFonts w:asciiTheme="minorHAnsi" w:eastAsiaTheme="minorEastAsia" w:hAnsiTheme="minorHAnsi"/>
              <w:noProof/>
              <w:kern w:val="2"/>
              <w:sz w:val="22"/>
              <w:lang w:eastAsia="pl-PL"/>
              <w14:ligatures w14:val="standardContextual"/>
            </w:rPr>
          </w:pPr>
          <w:hyperlink w:anchor="_Toc136859768" w:history="1">
            <w:r w:rsidR="001912A3" w:rsidRPr="002A6002">
              <w:rPr>
                <w:rStyle w:val="Hipercze"/>
                <w:noProof/>
              </w:rPr>
              <w:t>Inne punkty nieodpłatnej pomocy prawnej</w:t>
            </w:r>
            <w:r w:rsidR="001912A3">
              <w:rPr>
                <w:noProof/>
                <w:webHidden/>
              </w:rPr>
              <w:tab/>
            </w:r>
            <w:r w:rsidR="001912A3">
              <w:rPr>
                <w:noProof/>
                <w:webHidden/>
              </w:rPr>
              <w:fldChar w:fldCharType="begin"/>
            </w:r>
            <w:r w:rsidR="001912A3">
              <w:rPr>
                <w:noProof/>
                <w:webHidden/>
              </w:rPr>
              <w:instrText xml:space="preserve"> PAGEREF _Toc136859768 \h </w:instrText>
            </w:r>
            <w:r w:rsidR="001912A3">
              <w:rPr>
                <w:noProof/>
                <w:webHidden/>
              </w:rPr>
            </w:r>
            <w:r w:rsidR="001912A3">
              <w:rPr>
                <w:noProof/>
                <w:webHidden/>
              </w:rPr>
              <w:fldChar w:fldCharType="separate"/>
            </w:r>
            <w:r w:rsidR="001912A3">
              <w:rPr>
                <w:noProof/>
                <w:webHidden/>
              </w:rPr>
              <w:t>10</w:t>
            </w:r>
            <w:r w:rsidR="001912A3">
              <w:rPr>
                <w:noProof/>
                <w:webHidden/>
              </w:rPr>
              <w:fldChar w:fldCharType="end"/>
            </w:r>
          </w:hyperlink>
        </w:p>
        <w:p w14:paraId="30B00B02" w14:textId="2A37E825" w:rsidR="00833330" w:rsidRPr="00833330" w:rsidRDefault="00833330" w:rsidP="00744540">
          <w:pPr>
            <w:pStyle w:val="Spistreci2"/>
            <w:tabs>
              <w:tab w:val="right" w:leader="dot" w:pos="6509"/>
            </w:tabs>
            <w:spacing w:after="0" w:line="276" w:lineRule="auto"/>
            <w:ind w:left="0"/>
            <w:rPr>
              <w:bCs/>
              <w:color w:val="2F5496" w:themeColor="accent1" w:themeShade="BF"/>
            </w:rPr>
          </w:pPr>
          <w:r w:rsidRPr="005F4EF5">
            <w:rPr>
              <w:rFonts w:cs="Arial"/>
              <w:b/>
              <w:bCs/>
              <w:color w:val="2F5496" w:themeColor="accent1" w:themeShade="BF"/>
              <w:szCs w:val="20"/>
            </w:rPr>
            <w:fldChar w:fldCharType="end"/>
          </w:r>
        </w:p>
      </w:sdtContent>
    </w:sdt>
    <w:p w14:paraId="70025213" w14:textId="1F7A7D57" w:rsidR="001E395D" w:rsidRPr="00F64427" w:rsidRDefault="00074F91" w:rsidP="00EB4A1E">
      <w:pPr>
        <w:jc w:val="center"/>
        <w:rPr>
          <w:noProof/>
        </w:rPr>
      </w:pPr>
      <w:r w:rsidRPr="00074F91">
        <w:rPr>
          <w:noProof/>
        </w:rPr>
        <w:t xml:space="preserve"> </w:t>
      </w:r>
    </w:p>
    <w:p w14:paraId="7AF4F51B" w14:textId="06CFC201" w:rsidR="00850DC3" w:rsidRPr="000F5252" w:rsidRDefault="00204264" w:rsidP="00406ADF">
      <w:pPr>
        <w:pStyle w:val="Nagwek2"/>
        <w:numPr>
          <w:ilvl w:val="0"/>
          <w:numId w:val="62"/>
        </w:numPr>
      </w:pPr>
      <w:bookmarkStart w:id="2" w:name="_Toc136859758"/>
      <w:r>
        <w:t>Hejt – czym jest?</w:t>
      </w:r>
      <w:bookmarkEnd w:id="2"/>
    </w:p>
    <w:p w14:paraId="12123249" w14:textId="5AEAB212" w:rsidR="00204264" w:rsidRDefault="00204264" w:rsidP="00FA6890">
      <w:pPr>
        <w:shd w:val="clear" w:color="auto" w:fill="FFFFFF"/>
        <w:spacing w:after="0" w:line="360" w:lineRule="auto"/>
        <w:jc w:val="both"/>
        <w:rPr>
          <w:rFonts w:cstheme="minorHAnsi"/>
        </w:rPr>
      </w:pPr>
      <w:r w:rsidRPr="00F21533">
        <w:rPr>
          <w:rFonts w:cstheme="minorHAnsi"/>
        </w:rPr>
        <w:t>Hejt to obraźliwy i zwykle agresywny komentarz internetowy lub mówienie w sposób wrogi i</w:t>
      </w:r>
      <w:r>
        <w:rPr>
          <w:rFonts w:cstheme="minorHAnsi"/>
        </w:rPr>
        <w:t xml:space="preserve"> </w:t>
      </w:r>
      <w:r w:rsidRPr="00F21533">
        <w:rPr>
          <w:rFonts w:cstheme="minorHAnsi"/>
        </w:rPr>
        <w:t xml:space="preserve">agresywny na jakiś temat lub o jakiejś osobie </w:t>
      </w:r>
      <w:r>
        <w:rPr>
          <w:rFonts w:cstheme="minorHAnsi"/>
        </w:rPr>
        <w:br/>
      </w:r>
      <w:r w:rsidRPr="00F21533">
        <w:rPr>
          <w:rFonts w:cstheme="minorHAnsi"/>
        </w:rPr>
        <w:t>w środowisku Internetu.</w:t>
      </w:r>
      <w:r>
        <w:rPr>
          <w:rFonts w:cstheme="minorHAnsi"/>
        </w:rPr>
        <w:t xml:space="preserve"> </w:t>
      </w:r>
      <w:r w:rsidRPr="00F21533">
        <w:rPr>
          <w:rFonts w:cstheme="minorHAnsi"/>
        </w:rPr>
        <w:t>Najpopularniejszymi mediami, w których występuje ten problem są Facebook, YouTube,</w:t>
      </w:r>
      <w:r>
        <w:rPr>
          <w:rFonts w:cstheme="minorHAnsi"/>
        </w:rPr>
        <w:t xml:space="preserve"> </w:t>
      </w:r>
      <w:r w:rsidRPr="00F21533">
        <w:rPr>
          <w:rFonts w:cstheme="minorHAnsi"/>
        </w:rPr>
        <w:t>Instagram, Twitter, Twitch i inne.</w:t>
      </w:r>
      <w:r>
        <w:rPr>
          <w:rFonts w:cstheme="minorHAnsi"/>
        </w:rPr>
        <w:t xml:space="preserve"> </w:t>
      </w:r>
      <w:r w:rsidRPr="00F21533">
        <w:rPr>
          <w:rFonts w:cstheme="minorHAnsi"/>
        </w:rPr>
        <w:t xml:space="preserve">Hejt to nie tylko zgryźliwe i agresywne komentarze, które oczerniają </w:t>
      </w:r>
      <w:r w:rsidRPr="00F21533">
        <w:rPr>
          <w:rFonts w:cstheme="minorHAnsi"/>
        </w:rPr>
        <w:lastRenderedPageBreak/>
        <w:t>osobę o odmiennym</w:t>
      </w:r>
      <w:r>
        <w:rPr>
          <w:rFonts w:cstheme="minorHAnsi"/>
        </w:rPr>
        <w:t xml:space="preserve"> </w:t>
      </w:r>
      <w:r w:rsidRPr="00F21533">
        <w:rPr>
          <w:rFonts w:cstheme="minorHAnsi"/>
        </w:rPr>
        <w:t>zdaniu, to także obraźliwe memy, grafiki i filmy. Treści publikowane przez hejterów nie</w:t>
      </w:r>
      <w:r>
        <w:rPr>
          <w:rFonts w:cstheme="minorHAnsi"/>
        </w:rPr>
        <w:t xml:space="preserve"> </w:t>
      </w:r>
      <w:r w:rsidRPr="00F21533">
        <w:rPr>
          <w:rFonts w:cstheme="minorHAnsi"/>
        </w:rPr>
        <w:t>posiadają żadnej wartości i mają na celu sprawienie przykrości danej osobie. Okazuje się</w:t>
      </w:r>
      <w:r>
        <w:rPr>
          <w:rFonts w:cstheme="minorHAnsi"/>
        </w:rPr>
        <w:t>,</w:t>
      </w:r>
      <w:r w:rsidRPr="00F21533">
        <w:rPr>
          <w:rFonts w:cstheme="minorHAnsi"/>
        </w:rPr>
        <w:t xml:space="preserve"> że</w:t>
      </w:r>
      <w:r>
        <w:rPr>
          <w:rFonts w:cstheme="minorHAnsi"/>
        </w:rPr>
        <w:t xml:space="preserve"> </w:t>
      </w:r>
      <w:r w:rsidRPr="00F21533">
        <w:rPr>
          <w:rFonts w:cstheme="minorHAnsi"/>
        </w:rPr>
        <w:t>hejtowana jest</w:t>
      </w:r>
      <w:r>
        <w:rPr>
          <w:rFonts w:cstheme="minorHAnsi"/>
        </w:rPr>
        <w:br/>
      </w:r>
      <w:r w:rsidRPr="00F21533">
        <w:rPr>
          <w:rFonts w:cstheme="minorHAnsi"/>
        </w:rPr>
        <w:t>co czwarta osoba w Internecie. Aż 11 procent internautów przyznaje,</w:t>
      </w:r>
      <w:r>
        <w:rPr>
          <w:rFonts w:cstheme="minorHAnsi"/>
        </w:rPr>
        <w:br/>
      </w:r>
      <w:r w:rsidRPr="00F21533">
        <w:rPr>
          <w:rFonts w:cstheme="minorHAnsi"/>
        </w:rPr>
        <w:t>że</w:t>
      </w:r>
      <w:r>
        <w:rPr>
          <w:rFonts w:cstheme="minorHAnsi"/>
        </w:rPr>
        <w:t xml:space="preserve"> </w:t>
      </w:r>
      <w:r w:rsidRPr="00F21533">
        <w:rPr>
          <w:rFonts w:cstheme="minorHAnsi"/>
        </w:rPr>
        <w:t>zdarza im się hejtować w sieci.</w:t>
      </w:r>
      <w:r>
        <w:rPr>
          <w:rFonts w:cstheme="minorHAnsi"/>
        </w:rPr>
        <w:t xml:space="preserve"> </w:t>
      </w:r>
    </w:p>
    <w:p w14:paraId="5584A0C2" w14:textId="486ECA61" w:rsidR="00100795" w:rsidRPr="00850DC3" w:rsidRDefault="00204264" w:rsidP="00406ADF">
      <w:pPr>
        <w:pStyle w:val="Nagwek2"/>
        <w:numPr>
          <w:ilvl w:val="0"/>
          <w:numId w:val="62"/>
        </w:numPr>
      </w:pPr>
      <w:bookmarkStart w:id="3" w:name="_Toc136859759"/>
      <w:r>
        <w:t>Hejt – konsekwencje prawne</w:t>
      </w:r>
      <w:bookmarkEnd w:id="3"/>
    </w:p>
    <w:p w14:paraId="53718DC3" w14:textId="11699A6D" w:rsidR="00204264" w:rsidRDefault="00204264" w:rsidP="00FA6890">
      <w:pPr>
        <w:spacing w:after="0" w:line="360" w:lineRule="auto"/>
        <w:rPr>
          <w:rFonts w:cstheme="minorHAnsi"/>
          <w:color w:val="000000"/>
          <w:shd w:val="clear" w:color="auto" w:fill="FFFFFF"/>
        </w:rPr>
      </w:pPr>
      <w:r>
        <w:rPr>
          <w:rFonts w:cstheme="minorHAnsi"/>
        </w:rPr>
        <w:t xml:space="preserve">Ze </w:t>
      </w:r>
      <w:r w:rsidRPr="00321CE4">
        <w:rPr>
          <w:rFonts w:cstheme="minorHAnsi"/>
        </w:rPr>
        <w:t>względu na rosnącą popularność zjawiska, coraz częściej przypadki hejterstwa i mowy</w:t>
      </w:r>
      <w:r>
        <w:rPr>
          <w:rFonts w:cstheme="minorHAnsi"/>
        </w:rPr>
        <w:t xml:space="preserve"> </w:t>
      </w:r>
      <w:r w:rsidRPr="00321CE4">
        <w:rPr>
          <w:rFonts w:cstheme="minorHAnsi"/>
        </w:rPr>
        <w:t>nienawiści wypełniają znamiona przestępstw i są przedmiotem postępowań karnych (ale też</w:t>
      </w:r>
      <w:r>
        <w:rPr>
          <w:rFonts w:cstheme="minorHAnsi"/>
        </w:rPr>
        <w:t xml:space="preserve"> </w:t>
      </w:r>
      <w:r w:rsidRPr="00321CE4">
        <w:rPr>
          <w:rFonts w:cstheme="minorHAnsi"/>
        </w:rPr>
        <w:t>cywilnych).</w:t>
      </w:r>
      <w:r>
        <w:rPr>
          <w:rFonts w:cstheme="minorHAnsi"/>
        </w:rPr>
        <w:t xml:space="preserve"> </w:t>
      </w:r>
      <w:r w:rsidRPr="00321CE4">
        <w:rPr>
          <w:rFonts w:cstheme="minorHAnsi"/>
        </w:rPr>
        <w:t>Nie ma jednak czynu przestępnego literalnie wskazującego, że określone zachowanie jest</w:t>
      </w:r>
      <w:r>
        <w:rPr>
          <w:rFonts w:cstheme="minorHAnsi"/>
        </w:rPr>
        <w:t xml:space="preserve"> </w:t>
      </w:r>
      <w:r w:rsidRPr="00321CE4">
        <w:rPr>
          <w:rFonts w:cstheme="minorHAnsi"/>
        </w:rPr>
        <w:t>hejtem. Jest to nomenklatura, która nie weszła do kodeksu karnego czy kodeksu wykroczeń,</w:t>
      </w:r>
      <w:r>
        <w:rPr>
          <w:rFonts w:cstheme="minorHAnsi"/>
        </w:rPr>
        <w:t xml:space="preserve"> </w:t>
      </w:r>
      <w:r w:rsidRPr="00321CE4">
        <w:rPr>
          <w:rFonts w:cstheme="minorHAnsi"/>
        </w:rPr>
        <w:t>co nie znaczy, że czyny, które są określamy mianem hejtu nie są penalizowane.</w:t>
      </w:r>
      <w:r>
        <w:rPr>
          <w:rFonts w:cstheme="minorHAnsi"/>
        </w:rPr>
        <w:t xml:space="preserve"> </w:t>
      </w:r>
      <w:r w:rsidRPr="00321CE4">
        <w:rPr>
          <w:rFonts w:cstheme="minorHAnsi"/>
        </w:rPr>
        <w:t>Hejterzy w Internecie czują się anonimowi; jest to anonimowość pozorna, albowiem organy</w:t>
      </w:r>
      <w:r>
        <w:rPr>
          <w:rFonts w:cstheme="minorHAnsi"/>
        </w:rPr>
        <w:t xml:space="preserve"> </w:t>
      </w:r>
      <w:r w:rsidRPr="00321CE4">
        <w:rPr>
          <w:rFonts w:cstheme="minorHAnsi"/>
        </w:rPr>
        <w:t>ścigania</w:t>
      </w:r>
      <w:r>
        <w:rPr>
          <w:rFonts w:cstheme="minorHAnsi"/>
        </w:rPr>
        <w:br/>
      </w:r>
      <w:r w:rsidRPr="00321CE4">
        <w:rPr>
          <w:rFonts w:cstheme="minorHAnsi"/>
        </w:rPr>
        <w:t>i sądowe coraz sprawniej uzyskują dane niezbędne do namierzenia autora</w:t>
      </w:r>
      <w:r>
        <w:rPr>
          <w:rFonts w:cstheme="minorHAnsi"/>
        </w:rPr>
        <w:t xml:space="preserve"> </w:t>
      </w:r>
      <w:r w:rsidRPr="00321CE4">
        <w:rPr>
          <w:rFonts w:cstheme="minorHAnsi"/>
        </w:rPr>
        <w:t>określonego komentarza</w:t>
      </w:r>
      <w:r>
        <w:rPr>
          <w:rFonts w:cstheme="minorHAnsi"/>
        </w:rPr>
        <w:t>.</w:t>
      </w:r>
    </w:p>
    <w:p w14:paraId="1F972839" w14:textId="58753B65" w:rsidR="00AA7118" w:rsidRPr="00850DC3" w:rsidRDefault="00406ADF" w:rsidP="00D64B81">
      <w:pPr>
        <w:pStyle w:val="Nagwek3"/>
        <w:numPr>
          <w:ilvl w:val="0"/>
          <w:numId w:val="63"/>
        </w:numPr>
      </w:pPr>
      <w:bookmarkStart w:id="4" w:name="_Toc136859760"/>
      <w:r>
        <w:t>Odpowiedzialność karna</w:t>
      </w:r>
      <w:bookmarkEnd w:id="4"/>
    </w:p>
    <w:p w14:paraId="434F0C9C" w14:textId="64570200" w:rsidR="00712EE7" w:rsidRPr="00712EE7" w:rsidRDefault="00FE08CF" w:rsidP="008167B7">
      <w:pPr>
        <w:spacing w:after="0" w:line="360" w:lineRule="auto"/>
        <w:rPr>
          <w:rFonts w:cstheme="minorHAnsi"/>
        </w:rPr>
      </w:pPr>
      <w:r w:rsidRPr="00FE08CF">
        <w:rPr>
          <w:rFonts w:cstheme="minorHAnsi"/>
        </w:rPr>
        <w:t>Ustawa</w:t>
      </w:r>
      <w:r w:rsidR="00712EE7" w:rsidRPr="00712EE7">
        <w:t xml:space="preserve"> </w:t>
      </w:r>
      <w:r w:rsidR="00712EE7" w:rsidRPr="00712EE7">
        <w:rPr>
          <w:rFonts w:cstheme="minorHAnsi"/>
        </w:rPr>
        <w:t>Hejt może przybierać różne postacie, które w naszym porządku prawnym zostaną zinterpretowane jako następujące czyny:</w:t>
      </w:r>
    </w:p>
    <w:p w14:paraId="4AA38640" w14:textId="77777777" w:rsidR="00712EE7" w:rsidRPr="00712EE7" w:rsidRDefault="00712EE7" w:rsidP="00712EE7">
      <w:pPr>
        <w:spacing w:before="240" w:line="360" w:lineRule="auto"/>
        <w:rPr>
          <w:rFonts w:cstheme="minorHAnsi"/>
        </w:rPr>
      </w:pPr>
      <w:r w:rsidRPr="00712EE7">
        <w:rPr>
          <w:rFonts w:cstheme="minorHAnsi"/>
        </w:rPr>
        <w:t>•</w:t>
      </w:r>
      <w:r w:rsidRPr="00712EE7">
        <w:rPr>
          <w:rFonts w:cstheme="minorHAnsi"/>
        </w:rPr>
        <w:tab/>
        <w:t>zniesławienie - art. 212 kk</w:t>
      </w:r>
    </w:p>
    <w:p w14:paraId="7E622D52" w14:textId="77777777" w:rsidR="00712EE7" w:rsidRPr="00712EE7" w:rsidRDefault="00712EE7" w:rsidP="00712EE7">
      <w:pPr>
        <w:spacing w:before="240" w:line="360" w:lineRule="auto"/>
        <w:rPr>
          <w:rFonts w:cstheme="minorHAnsi"/>
        </w:rPr>
      </w:pPr>
      <w:r w:rsidRPr="00712EE7">
        <w:rPr>
          <w:rFonts w:cstheme="minorHAnsi"/>
        </w:rPr>
        <w:t>•</w:t>
      </w:r>
      <w:r w:rsidRPr="00712EE7">
        <w:rPr>
          <w:rFonts w:cstheme="minorHAnsi"/>
        </w:rPr>
        <w:tab/>
        <w:t>zniewaga – art. 216 k</w:t>
      </w:r>
    </w:p>
    <w:p w14:paraId="1771AE75" w14:textId="77777777" w:rsidR="00712EE7" w:rsidRPr="00712EE7" w:rsidRDefault="00712EE7" w:rsidP="00712EE7">
      <w:pPr>
        <w:spacing w:before="240" w:line="360" w:lineRule="auto"/>
        <w:rPr>
          <w:rFonts w:cstheme="minorHAnsi"/>
        </w:rPr>
      </w:pPr>
      <w:r w:rsidRPr="00712EE7">
        <w:rPr>
          <w:rFonts w:cstheme="minorHAnsi"/>
        </w:rPr>
        <w:t>•</w:t>
      </w:r>
      <w:r w:rsidRPr="00712EE7">
        <w:rPr>
          <w:rFonts w:cstheme="minorHAnsi"/>
        </w:rPr>
        <w:tab/>
        <w:t>groźba z powodu dyskryminacji – art. 119 kk</w:t>
      </w:r>
    </w:p>
    <w:p w14:paraId="7F3E8828" w14:textId="77777777" w:rsidR="00712EE7" w:rsidRPr="00712EE7" w:rsidRDefault="00712EE7" w:rsidP="00712EE7">
      <w:pPr>
        <w:spacing w:before="240" w:line="360" w:lineRule="auto"/>
        <w:rPr>
          <w:rFonts w:cstheme="minorHAnsi"/>
        </w:rPr>
      </w:pPr>
      <w:r w:rsidRPr="00712EE7">
        <w:rPr>
          <w:rFonts w:cstheme="minorHAnsi"/>
        </w:rPr>
        <w:t>•</w:t>
      </w:r>
      <w:r w:rsidRPr="00712EE7">
        <w:rPr>
          <w:rFonts w:cstheme="minorHAnsi"/>
        </w:rPr>
        <w:tab/>
        <w:t>groźba karalna – art. 190 kk</w:t>
      </w:r>
    </w:p>
    <w:p w14:paraId="1CFA5594" w14:textId="77777777" w:rsidR="00712EE7" w:rsidRPr="00712EE7" w:rsidRDefault="00712EE7" w:rsidP="00712EE7">
      <w:pPr>
        <w:spacing w:before="240" w:line="360" w:lineRule="auto"/>
        <w:rPr>
          <w:rFonts w:cstheme="minorHAnsi"/>
        </w:rPr>
      </w:pPr>
      <w:r w:rsidRPr="00712EE7">
        <w:rPr>
          <w:rFonts w:cstheme="minorHAnsi"/>
        </w:rPr>
        <w:t>•</w:t>
      </w:r>
      <w:r w:rsidRPr="00712EE7">
        <w:rPr>
          <w:rFonts w:cstheme="minorHAnsi"/>
        </w:rPr>
        <w:tab/>
        <w:t>uporczywe nękanie, tzw. „stalking” – art. 190a kk</w:t>
      </w:r>
    </w:p>
    <w:p w14:paraId="21950944" w14:textId="4BE23B51" w:rsidR="00712EE7" w:rsidRPr="00712EE7" w:rsidRDefault="00712EE7" w:rsidP="00712EE7">
      <w:pPr>
        <w:spacing w:before="240" w:line="360" w:lineRule="auto"/>
        <w:rPr>
          <w:rFonts w:cstheme="minorHAnsi"/>
        </w:rPr>
      </w:pPr>
      <w:r w:rsidRPr="00712EE7">
        <w:rPr>
          <w:rFonts w:cstheme="minorHAnsi"/>
        </w:rPr>
        <w:t>•</w:t>
      </w:r>
      <w:r w:rsidRPr="00712EE7">
        <w:rPr>
          <w:rFonts w:cstheme="minorHAnsi"/>
        </w:rPr>
        <w:tab/>
        <w:t>zmuszenie groźbą innej osoby do określonego działania</w:t>
      </w:r>
      <w:r>
        <w:rPr>
          <w:rFonts w:cstheme="minorHAnsi"/>
        </w:rPr>
        <w:t xml:space="preserve"> </w:t>
      </w:r>
      <w:r w:rsidRPr="00712EE7">
        <w:rPr>
          <w:rFonts w:cstheme="minorHAnsi"/>
        </w:rPr>
        <w:t>– art. 191 kk</w:t>
      </w:r>
    </w:p>
    <w:p w14:paraId="6D91329E" w14:textId="77777777" w:rsidR="00712EE7" w:rsidRPr="00712EE7" w:rsidRDefault="00712EE7" w:rsidP="00712EE7">
      <w:pPr>
        <w:spacing w:before="240" w:line="360" w:lineRule="auto"/>
        <w:rPr>
          <w:rFonts w:cstheme="minorHAnsi"/>
        </w:rPr>
      </w:pPr>
      <w:r w:rsidRPr="00712EE7">
        <w:rPr>
          <w:rFonts w:cstheme="minorHAnsi"/>
        </w:rPr>
        <w:lastRenderedPageBreak/>
        <w:t>•</w:t>
      </w:r>
      <w:r w:rsidRPr="00712EE7">
        <w:rPr>
          <w:rFonts w:cstheme="minorHAnsi"/>
        </w:rPr>
        <w:tab/>
        <w:t>fałszywe oskarżenia – art. 234 kk</w:t>
      </w:r>
    </w:p>
    <w:p w14:paraId="764FCB16" w14:textId="77777777" w:rsidR="00712EE7" w:rsidRPr="00712EE7" w:rsidRDefault="00712EE7" w:rsidP="00712EE7">
      <w:pPr>
        <w:spacing w:before="240" w:line="360" w:lineRule="auto"/>
        <w:rPr>
          <w:rFonts w:cstheme="minorHAnsi"/>
        </w:rPr>
      </w:pPr>
      <w:r w:rsidRPr="00712EE7">
        <w:rPr>
          <w:rFonts w:cstheme="minorHAnsi"/>
        </w:rPr>
        <w:t>•</w:t>
      </w:r>
      <w:r w:rsidRPr="00712EE7">
        <w:rPr>
          <w:rFonts w:cstheme="minorHAnsi"/>
        </w:rPr>
        <w:tab/>
        <w:t>nawoływanie i pochwalenie przestępstwa – art. 255 kk</w:t>
      </w:r>
    </w:p>
    <w:p w14:paraId="6E2EF636" w14:textId="77777777" w:rsidR="00712EE7" w:rsidRPr="00712EE7" w:rsidRDefault="00712EE7" w:rsidP="00712EE7">
      <w:pPr>
        <w:spacing w:before="240" w:line="360" w:lineRule="auto"/>
        <w:rPr>
          <w:rFonts w:cstheme="minorHAnsi"/>
        </w:rPr>
      </w:pPr>
      <w:r w:rsidRPr="00712EE7">
        <w:rPr>
          <w:rFonts w:cstheme="minorHAnsi"/>
        </w:rPr>
        <w:t>•</w:t>
      </w:r>
      <w:r w:rsidRPr="00712EE7">
        <w:rPr>
          <w:rFonts w:cstheme="minorHAnsi"/>
        </w:rPr>
        <w:tab/>
        <w:t>nawoływanie do nienawiści na tle różnic narodowych – art. 256 kk</w:t>
      </w:r>
    </w:p>
    <w:p w14:paraId="1AA87320" w14:textId="77777777" w:rsidR="00712EE7" w:rsidRPr="00712EE7" w:rsidRDefault="00712EE7" w:rsidP="00712EE7">
      <w:pPr>
        <w:spacing w:before="240" w:line="360" w:lineRule="auto"/>
        <w:rPr>
          <w:rFonts w:cstheme="minorHAnsi"/>
        </w:rPr>
      </w:pPr>
      <w:r w:rsidRPr="00712EE7">
        <w:rPr>
          <w:rFonts w:cstheme="minorHAnsi"/>
        </w:rPr>
        <w:t>•</w:t>
      </w:r>
      <w:r w:rsidRPr="00712EE7">
        <w:rPr>
          <w:rFonts w:cstheme="minorHAnsi"/>
        </w:rPr>
        <w:tab/>
        <w:t>publiczna zniewaga z powodu przynależności narodowej, etnicznej, rasowej, wyznaniowej lub z powodu bezwyznaniowości – art. 257 kk</w:t>
      </w:r>
    </w:p>
    <w:p w14:paraId="4B554FB1" w14:textId="77777777" w:rsidR="00712EE7" w:rsidRPr="00712EE7" w:rsidRDefault="00712EE7" w:rsidP="00712EE7">
      <w:pPr>
        <w:spacing w:before="240" w:line="360" w:lineRule="auto"/>
        <w:rPr>
          <w:rFonts w:cstheme="minorHAnsi"/>
        </w:rPr>
      </w:pPr>
      <w:r w:rsidRPr="00712EE7">
        <w:rPr>
          <w:rFonts w:cstheme="minorHAnsi"/>
        </w:rPr>
        <w:t>•</w:t>
      </w:r>
      <w:r w:rsidRPr="00712EE7">
        <w:rPr>
          <w:rFonts w:cstheme="minorHAnsi"/>
        </w:rPr>
        <w:tab/>
        <w:t>złośliwe niepokojenie – art. 107 kw</w:t>
      </w:r>
    </w:p>
    <w:p w14:paraId="13320411" w14:textId="29173A1C" w:rsidR="00712EE7" w:rsidRPr="00712EE7" w:rsidRDefault="00712EE7" w:rsidP="00712EE7">
      <w:pPr>
        <w:spacing w:before="240" w:line="360" w:lineRule="auto"/>
        <w:rPr>
          <w:rFonts w:cstheme="minorHAnsi"/>
        </w:rPr>
      </w:pPr>
      <w:r w:rsidRPr="00712EE7">
        <w:rPr>
          <w:rFonts w:cstheme="minorHAnsi"/>
        </w:rPr>
        <w:t>Warto zwrócić uwagę na formę ścigania danego przestępstwa</w:t>
      </w:r>
      <w:r w:rsidR="005900AE">
        <w:rPr>
          <w:rFonts w:cstheme="minorHAnsi"/>
        </w:rPr>
        <w:t xml:space="preserve"> </w:t>
      </w:r>
      <w:r w:rsidRPr="00712EE7">
        <w:rPr>
          <w:rFonts w:cstheme="minorHAnsi"/>
        </w:rPr>
        <w:t>i wykroczenia.</w:t>
      </w:r>
      <w:r w:rsidR="005900AE">
        <w:rPr>
          <w:rFonts w:cstheme="minorHAnsi"/>
        </w:rPr>
        <w:t xml:space="preserve"> </w:t>
      </w:r>
      <w:r w:rsidRPr="00712EE7">
        <w:rPr>
          <w:rFonts w:cstheme="minorHAnsi"/>
        </w:rPr>
        <w:t>Rozróżniamy bowiem:</w:t>
      </w:r>
    </w:p>
    <w:p w14:paraId="2D96671A" w14:textId="25E1989A" w:rsidR="00712EE7" w:rsidRPr="00712EE7" w:rsidRDefault="00712EE7" w:rsidP="00712EE7">
      <w:pPr>
        <w:spacing w:before="240" w:line="360" w:lineRule="auto"/>
        <w:rPr>
          <w:rFonts w:cstheme="minorHAnsi"/>
        </w:rPr>
      </w:pPr>
      <w:r w:rsidRPr="00712EE7">
        <w:rPr>
          <w:rFonts w:cstheme="minorHAnsi"/>
        </w:rPr>
        <w:t>a)</w:t>
      </w:r>
      <w:r w:rsidRPr="00712EE7">
        <w:rPr>
          <w:rFonts w:cstheme="minorHAnsi"/>
        </w:rPr>
        <w:tab/>
        <w:t>postępowanie publicznoskargowe – postępowanie wówczas jest wszczynane i prowadzone przez organy ścigania (najczęściej policję lub prokuraturę). Organy rozpoczynają postępowanie</w:t>
      </w:r>
      <w:r w:rsidR="005900AE">
        <w:rPr>
          <w:rFonts w:cstheme="minorHAnsi"/>
        </w:rPr>
        <w:t xml:space="preserve"> </w:t>
      </w:r>
      <w:r w:rsidRPr="00712EE7">
        <w:rPr>
          <w:rFonts w:cstheme="minorHAnsi"/>
        </w:rPr>
        <w:t>w momencie, gdy powezmą informację o popełnieniu przestępstwa. Wówczas same wszczynają postępowanie, zbierają dowody oraz składają i popierają akt oskarżenia przed sądem. W ramach tego postępowania rozróżniamy dwa tryby postępowań:</w:t>
      </w:r>
    </w:p>
    <w:p w14:paraId="17677533" w14:textId="4335F6AD" w:rsidR="00712EE7" w:rsidRPr="00712EE7" w:rsidRDefault="00712EE7" w:rsidP="005900AE">
      <w:pPr>
        <w:spacing w:before="240" w:line="360" w:lineRule="auto"/>
        <w:ind w:firstLine="708"/>
        <w:rPr>
          <w:rFonts w:cstheme="minorHAnsi"/>
        </w:rPr>
      </w:pPr>
      <w:r w:rsidRPr="00712EE7">
        <w:rPr>
          <w:rFonts w:cstheme="minorHAnsi"/>
        </w:rPr>
        <w:t></w:t>
      </w:r>
      <w:r w:rsidRPr="00712EE7">
        <w:rPr>
          <w:rFonts w:cstheme="minorHAnsi"/>
        </w:rPr>
        <w:tab/>
        <w:t>ścigane z urzędu - gdy organ podejmuje czynności po powzięciu informacji</w:t>
      </w:r>
      <w:r w:rsidR="005900AE">
        <w:rPr>
          <w:rFonts w:cstheme="minorHAnsi"/>
        </w:rPr>
        <w:t xml:space="preserve"> </w:t>
      </w:r>
      <w:r w:rsidRPr="00712EE7">
        <w:rPr>
          <w:rFonts w:cstheme="minorHAnsi"/>
        </w:rPr>
        <w:t>o przestępstwie (np.: 257 kk) oraz</w:t>
      </w:r>
    </w:p>
    <w:p w14:paraId="061F2A61" w14:textId="22F34B13" w:rsidR="00712EE7" w:rsidRPr="00712EE7" w:rsidRDefault="00712EE7" w:rsidP="005900AE">
      <w:pPr>
        <w:spacing w:before="240" w:line="360" w:lineRule="auto"/>
        <w:ind w:firstLine="708"/>
        <w:rPr>
          <w:rFonts w:cstheme="minorHAnsi"/>
        </w:rPr>
      </w:pPr>
      <w:r w:rsidRPr="00712EE7">
        <w:rPr>
          <w:rFonts w:cstheme="minorHAnsi"/>
        </w:rPr>
        <w:t></w:t>
      </w:r>
      <w:r w:rsidRPr="00712EE7">
        <w:rPr>
          <w:rFonts w:cstheme="minorHAnsi"/>
        </w:rPr>
        <w:tab/>
        <w:t>ścigane na wniosek - aby organ zainicjował postępowanie, musi być złożony wniosek</w:t>
      </w:r>
      <w:r w:rsidR="005900AE">
        <w:rPr>
          <w:rFonts w:cstheme="minorHAnsi"/>
        </w:rPr>
        <w:t xml:space="preserve"> </w:t>
      </w:r>
      <w:r w:rsidRPr="00712EE7">
        <w:rPr>
          <w:rFonts w:cstheme="minorHAnsi"/>
        </w:rPr>
        <w:t>o ściganie (np.: 190 kk);</w:t>
      </w:r>
    </w:p>
    <w:p w14:paraId="2699F6B4" w14:textId="615AD190" w:rsidR="00712EE7" w:rsidRPr="00712EE7" w:rsidRDefault="00712EE7" w:rsidP="00712EE7">
      <w:pPr>
        <w:spacing w:before="240" w:line="360" w:lineRule="auto"/>
        <w:rPr>
          <w:rFonts w:cstheme="minorHAnsi"/>
        </w:rPr>
      </w:pPr>
      <w:r w:rsidRPr="00712EE7">
        <w:rPr>
          <w:rFonts w:cstheme="minorHAnsi"/>
        </w:rPr>
        <w:t>b)</w:t>
      </w:r>
      <w:r w:rsidRPr="00712EE7">
        <w:rPr>
          <w:rFonts w:cstheme="minorHAnsi"/>
        </w:rPr>
        <w:tab/>
        <w:t xml:space="preserve">postępowanie prywatnoskargowe – to postępowanie, co do zasady nie jest prowadzone przez organy ścigania. Pokrzywdzony musi </w:t>
      </w:r>
      <w:r w:rsidRPr="00712EE7">
        <w:rPr>
          <w:rFonts w:cstheme="minorHAnsi"/>
        </w:rPr>
        <w:lastRenderedPageBreak/>
        <w:t>przez cały tok procesu sądowego czynnie popierać prywatny akt oskarżenia, to pokrzywdzony jest zobligowany wykazać,</w:t>
      </w:r>
      <w:r w:rsidR="005900AE">
        <w:rPr>
          <w:rFonts w:cstheme="minorHAnsi"/>
        </w:rPr>
        <w:t xml:space="preserve"> </w:t>
      </w:r>
      <w:r w:rsidRPr="00712EE7">
        <w:rPr>
          <w:rFonts w:cstheme="minorHAnsi"/>
        </w:rPr>
        <w:t>że doszło do popełnienia czynu przez oskarżonego (np.: 216 kk).</w:t>
      </w:r>
    </w:p>
    <w:p w14:paraId="17656121" w14:textId="5F1EFA58" w:rsidR="0009680F" w:rsidRDefault="00712EE7" w:rsidP="00710802">
      <w:pPr>
        <w:spacing w:before="240" w:line="360" w:lineRule="auto"/>
        <w:rPr>
          <w:rFonts w:cstheme="minorHAnsi"/>
        </w:rPr>
      </w:pPr>
      <w:r w:rsidRPr="00712EE7">
        <w:rPr>
          <w:rFonts w:cstheme="minorHAnsi"/>
        </w:rPr>
        <w:t>Gdy jesteśmy świadkami wpisów bądź komentarzy, które mogą wypełniać znamiona hej tu należy  zrobić tzw. „screena” i załączyć go do zawiadomienia, które należy złożyć w wybranej jednostce policji lub prokuratury.</w:t>
      </w:r>
    </w:p>
    <w:p w14:paraId="4C2F9BE7" w14:textId="20C27C70" w:rsidR="00FB0354" w:rsidRPr="00FB0354" w:rsidRDefault="00FB0354" w:rsidP="00FB0354">
      <w:pPr>
        <w:pStyle w:val="Nagwek3"/>
        <w:numPr>
          <w:ilvl w:val="0"/>
          <w:numId w:val="63"/>
        </w:numPr>
      </w:pPr>
      <w:bookmarkStart w:id="5" w:name="_Toc136859761"/>
      <w:r w:rsidRPr="00FB0354">
        <w:t>Odpowiedzialność karna osób niepełnoletnich</w:t>
      </w:r>
      <w:bookmarkEnd w:id="5"/>
    </w:p>
    <w:p w14:paraId="00034093" w14:textId="48795A1B" w:rsidR="008167B7" w:rsidRPr="008167B7" w:rsidRDefault="008167B7" w:rsidP="008167B7">
      <w:pPr>
        <w:spacing w:line="360" w:lineRule="auto"/>
      </w:pPr>
      <w:r w:rsidRPr="008167B7">
        <w:t>Autorami hejterskich komentarzy (wpisów) często bywają młodzi, a nawet bardzo młodzi ludzie. Ich wiek, nie powoduje że nie ponoszą konsekwencji; bywają one jednak nieco inne, aniżeli te które mogą być stosowane wobec osób pełnoletnich. Zasady odpowiedzialności karnej ujęte są w kodeksie karnym, który wskazuje, że osoby, które nie ukończyły 17 roku życia nie odpowiadają za popełnione przestępstwo (za wyjątkiem ciężkich przestępstw). Osoby poniżej 17 lat odpowiadać będą na podstawie ustawy o postępowaniu w sprawach nieletnich.</w:t>
      </w:r>
      <w:r w:rsidR="00AC6713">
        <w:t xml:space="preserve"> </w:t>
      </w:r>
      <w:r w:rsidRPr="008167B7">
        <w:t>W zależności od wieku nieletniego hejtera, zróżnicowana jest jego odpowiedzialność, i tak:.</w:t>
      </w:r>
    </w:p>
    <w:p w14:paraId="17D0F14A" w14:textId="77777777" w:rsidR="008167B7" w:rsidRPr="008167B7" w:rsidRDefault="008167B7" w:rsidP="008167B7">
      <w:pPr>
        <w:spacing w:line="360" w:lineRule="auto"/>
      </w:pPr>
      <w:r w:rsidRPr="008167B7">
        <w:t></w:t>
      </w:r>
      <w:r w:rsidRPr="008167B7">
        <w:tab/>
        <w:t>zachowanie nieletniego między 13 a 17 rokiem życia sąd może potraktować jako przejaw demoralizacji i zastosować środki przewidziane w ustawie o postępowaniu w sprawach nieletnich;</w:t>
      </w:r>
    </w:p>
    <w:p w14:paraId="45C56BF7" w14:textId="77777777" w:rsidR="008167B7" w:rsidRPr="008167B7" w:rsidRDefault="008167B7" w:rsidP="008167B7">
      <w:pPr>
        <w:spacing w:line="360" w:lineRule="auto"/>
      </w:pPr>
      <w:r w:rsidRPr="008167B7">
        <w:t></w:t>
      </w:r>
      <w:r w:rsidRPr="008167B7">
        <w:tab/>
        <w:t>natomiast wobec nieletniego między 17 a 18 rokiem życia stosuje się już kodeks karny. Sąd zamiast kary stosuje środki wychowawcze, lecznicze albo poprawcze przewidziane dla nieletnich, jeżeli okoliczności sprawy oraz stopień rozwoju sprawcy, jego właściwości i warunki osobiste za tym przemawiają.</w:t>
      </w:r>
    </w:p>
    <w:p w14:paraId="68C88254" w14:textId="41CBC05B" w:rsidR="00FB0354" w:rsidRDefault="008167B7" w:rsidP="008167B7">
      <w:pPr>
        <w:spacing w:line="360" w:lineRule="auto"/>
      </w:pPr>
      <w:r w:rsidRPr="008167B7">
        <w:t xml:space="preserve">W badaniach dot. stwierdzenia "Zarówno lajkowanie, jak i udostępnianie jakiejś treści może komuś zaszkodzić". 25 proc. młodych odpowiedziało "nieprawda", a 35 proc. "nie wiem, trudno powiedzieć". Czyli 60 proc. </w:t>
      </w:r>
      <w:r w:rsidRPr="008167B7">
        <w:lastRenderedPageBreak/>
        <w:t>młodych badanych nie zdaje sobie sprawy, że udostępniając tego typu filmik, może krzywdzić. Dzieciaki uważają, że jeśli sami byliby autorami szkalującego posta, to można mieć do nich pretensje. Ale jeżeli tylko go pokazują, podając dalej, to nie widzą problemu. Podobnie jest podczas nagrywania aktu przemocy. We własnym wyobrażeniu ci młodzi ludzie są tylko dokumentalistami.</w:t>
      </w:r>
    </w:p>
    <w:p w14:paraId="600CF0B1" w14:textId="42E7B638" w:rsidR="00470CAB" w:rsidRDefault="008020B6" w:rsidP="00F6263E">
      <w:pPr>
        <w:pStyle w:val="Nagwek3"/>
        <w:numPr>
          <w:ilvl w:val="0"/>
          <w:numId w:val="63"/>
        </w:numPr>
      </w:pPr>
      <w:bookmarkStart w:id="6" w:name="_Toc136859762"/>
      <w:r>
        <w:t>Jakie konsekwencje przewiduje ustawa</w:t>
      </w:r>
      <w:r w:rsidR="00F6263E">
        <w:t xml:space="preserve"> o p</w:t>
      </w:r>
      <w:r>
        <w:t>ostępowaniu w sprawach nieletnich?</w:t>
      </w:r>
      <w:bookmarkEnd w:id="6"/>
    </w:p>
    <w:p w14:paraId="6DA20CFB" w14:textId="622464A2" w:rsidR="00567F42" w:rsidRDefault="00567F42" w:rsidP="00567F42">
      <w:pPr>
        <w:spacing w:line="360" w:lineRule="auto"/>
      </w:pPr>
      <w:r>
        <w:t>Wobec nieletniego mogą być stosowane środki wychowawcze oraz środek poprawczy w postaci umieszczenia w zakładzie poprawczym; kara może być orzeczona tylko w wypadkach prawem przewidzianych, jeżeli inne środki nie są w stanie zapewnić resocjalizacji nieletniego. Sąd rodzinny może:</w:t>
      </w:r>
    </w:p>
    <w:p w14:paraId="7CD8EFA4" w14:textId="77777777" w:rsidR="00567F42" w:rsidRDefault="00567F42" w:rsidP="00567F42">
      <w:pPr>
        <w:spacing w:line="360" w:lineRule="auto"/>
      </w:pPr>
      <w:r>
        <w:t>1)</w:t>
      </w:r>
      <w:r>
        <w:tab/>
        <w:t>udzielić upomnienia;</w:t>
      </w:r>
    </w:p>
    <w:p w14:paraId="3EB76296" w14:textId="5F1AE030" w:rsidR="00567F42" w:rsidRDefault="00567F42" w:rsidP="00567F42">
      <w:pPr>
        <w:spacing w:line="360" w:lineRule="auto"/>
      </w:pPr>
      <w:r>
        <w:t>2)</w:t>
      </w:r>
      <w:r>
        <w:tab/>
        <w:t>zobowiązać do określonego postępowania, a zwłaszcza</w:t>
      </w:r>
      <w:r w:rsidR="009A5A78">
        <w:t xml:space="preserve"> </w:t>
      </w:r>
      <w:r>
        <w:t>do naprawienia wyrządzonej szkody, do wykonania określonych prac lub świadczeń na rzecz pokrzywdzonego lub społeczności lokalnej, do przeproszenia pokrzywdzonego, do podjęcia nauki</w:t>
      </w:r>
      <w:r w:rsidR="009A5A78">
        <w:t xml:space="preserve"> </w:t>
      </w:r>
      <w:r>
        <w:t>lub pracy, do uczestniczenia w odpowiednich zajęciach</w:t>
      </w:r>
      <w:r w:rsidR="009A5A78">
        <w:t xml:space="preserve"> </w:t>
      </w:r>
      <w:r>
        <w:t>o charakterze wychowawczym, terapeutycznym</w:t>
      </w:r>
      <w:r w:rsidR="009A5A78">
        <w:t xml:space="preserve"> </w:t>
      </w:r>
      <w:r>
        <w:t>lub szkoleniowym, do powstrzymania się od przebywania</w:t>
      </w:r>
      <w:r w:rsidR="009A5A78">
        <w:t xml:space="preserve"> </w:t>
      </w:r>
      <w:r>
        <w:t>w określonych środowiskach lub miejscach albo do zaniechania używania alkoholu lub innego środka w celu wprowadzania się</w:t>
      </w:r>
      <w:r w:rsidR="009A5A78">
        <w:t xml:space="preserve"> </w:t>
      </w:r>
      <w:r>
        <w:t xml:space="preserve"> w stan odurzenia;</w:t>
      </w:r>
    </w:p>
    <w:p w14:paraId="1C4DDF0C" w14:textId="77777777" w:rsidR="00567F42" w:rsidRDefault="00567F42" w:rsidP="00567F42">
      <w:pPr>
        <w:spacing w:line="360" w:lineRule="auto"/>
      </w:pPr>
      <w:r>
        <w:t>3)</w:t>
      </w:r>
      <w:r>
        <w:tab/>
        <w:t>ustanowić nadzór odpowiedzialny rodziców lub opiekuna;</w:t>
      </w:r>
    </w:p>
    <w:p w14:paraId="72729EEE" w14:textId="77777777" w:rsidR="00567F42" w:rsidRDefault="00567F42" w:rsidP="00567F42">
      <w:pPr>
        <w:spacing w:line="360" w:lineRule="auto"/>
      </w:pPr>
      <w:r>
        <w:t>4)</w:t>
      </w:r>
      <w:r>
        <w:tab/>
        <w:t>ustanowić nadzór organizacji młodzieżowej lub innej organizacji społecznej, zakładu pracy albo osoby godnej zaufania - udzielających poręczenia za nieletniego;</w:t>
      </w:r>
    </w:p>
    <w:p w14:paraId="32480CEB" w14:textId="77777777" w:rsidR="00567F42" w:rsidRDefault="00567F42" w:rsidP="00567F42">
      <w:pPr>
        <w:spacing w:line="360" w:lineRule="auto"/>
      </w:pPr>
      <w:r>
        <w:t>5)</w:t>
      </w:r>
      <w:r>
        <w:tab/>
        <w:t>zastosować nadzór kuratora;</w:t>
      </w:r>
    </w:p>
    <w:p w14:paraId="112461F9" w14:textId="77777777" w:rsidR="00567F42" w:rsidRDefault="00567F42" w:rsidP="00567F42">
      <w:pPr>
        <w:spacing w:line="360" w:lineRule="auto"/>
      </w:pPr>
      <w:r>
        <w:lastRenderedPageBreak/>
        <w:t>6)</w:t>
      </w:r>
      <w:r>
        <w:tab/>
        <w:t>skierować do ośrodka kuratorskiego, a także do organizacji społecznej lub instytucji zajmujących się pracą z nieletnimi</w:t>
      </w:r>
    </w:p>
    <w:p w14:paraId="3BCF55B0" w14:textId="77777777" w:rsidR="00567F42" w:rsidRDefault="00567F42" w:rsidP="00567F42">
      <w:pPr>
        <w:spacing w:line="360" w:lineRule="auto"/>
      </w:pPr>
      <w:r>
        <w:t>o charakterze wychowawczym, terapeutycznym lub szkoleniowym, po uprzednim porozumieniu się z tą organizacją lub instytucją;</w:t>
      </w:r>
    </w:p>
    <w:p w14:paraId="1C171EAD" w14:textId="77777777" w:rsidR="00567F42" w:rsidRDefault="00567F42" w:rsidP="00567F42">
      <w:pPr>
        <w:spacing w:line="360" w:lineRule="auto"/>
      </w:pPr>
      <w:r>
        <w:t>7)</w:t>
      </w:r>
      <w:r>
        <w:tab/>
        <w:t>orzec zakaz prowadzenia pojazdów;</w:t>
      </w:r>
    </w:p>
    <w:p w14:paraId="3E008F3E" w14:textId="77777777" w:rsidR="00567F42" w:rsidRDefault="00567F42" w:rsidP="00567F42">
      <w:pPr>
        <w:spacing w:line="360" w:lineRule="auto"/>
      </w:pPr>
      <w:r>
        <w:t>8)</w:t>
      </w:r>
      <w:r>
        <w:tab/>
        <w:t>orzec przepadek rzeczy uzyskanych w związku z popełnieniem czynu karalnego;</w:t>
      </w:r>
    </w:p>
    <w:p w14:paraId="3684006F" w14:textId="77777777" w:rsidR="00567F42" w:rsidRDefault="00567F42" w:rsidP="00567F42">
      <w:pPr>
        <w:spacing w:line="360" w:lineRule="auto"/>
      </w:pPr>
      <w:r>
        <w:t>9)</w:t>
      </w:r>
      <w:r>
        <w:tab/>
        <w:t>orzec umieszczenie w młodzieżowym ośrodku wychowawczym albo w rodzinie zastępczej zawodowej, która ukończyła szkolenie przygotowujące do sprawowania opieki nad nieletnim;</w:t>
      </w:r>
    </w:p>
    <w:p w14:paraId="01118409" w14:textId="77777777" w:rsidR="00567F42" w:rsidRDefault="00567F42" w:rsidP="00567F42">
      <w:pPr>
        <w:spacing w:line="360" w:lineRule="auto"/>
      </w:pPr>
      <w:r>
        <w:t>10)</w:t>
      </w:r>
      <w:r>
        <w:tab/>
        <w:t>orzec umieszczenie w zakładzie poprawczym;</w:t>
      </w:r>
    </w:p>
    <w:p w14:paraId="5AE6C4FF" w14:textId="5C625150" w:rsidR="00470CAB" w:rsidRDefault="00567F42" w:rsidP="00567F42">
      <w:pPr>
        <w:spacing w:line="360" w:lineRule="auto"/>
      </w:pPr>
      <w:r>
        <w:t>11)</w:t>
      </w:r>
      <w:r>
        <w:tab/>
        <w:t>zastosować inne środki zastrzeżone w niniejszej ustawie</w:t>
      </w:r>
      <w:r w:rsidR="009A5A78">
        <w:t xml:space="preserve"> </w:t>
      </w:r>
      <w:r>
        <w:t>do właściwości sądu rodzinnego, jak również zastosować środki przewidziane w Kodeksie rodzinnym i opiekuńczym,</w:t>
      </w:r>
      <w:r w:rsidR="009A5A78">
        <w:t xml:space="preserve"> </w:t>
      </w:r>
      <w:r>
        <w:t>z wyłączeniem umieszczenia w rodzinie zastępczej spokrewnionej, rodzinie zastępczej niezawodowej, rodzinnym domu dziecka, placówce wsparcia dziennego, placówce opiekuńczo-wychowawczej i regionalnej placówce opiekuńczo-terapeutycznej.</w:t>
      </w:r>
    </w:p>
    <w:p w14:paraId="3CA3A8E9" w14:textId="7E465DD0" w:rsidR="00567F42" w:rsidRDefault="007D6391" w:rsidP="007D6391">
      <w:pPr>
        <w:pStyle w:val="Nagwek3"/>
        <w:numPr>
          <w:ilvl w:val="0"/>
          <w:numId w:val="63"/>
        </w:numPr>
      </w:pPr>
      <w:bookmarkStart w:id="7" w:name="_Toc136859763"/>
      <w:r>
        <w:t>Gdzie i komu zgłaszać hejt?</w:t>
      </w:r>
      <w:bookmarkEnd w:id="7"/>
    </w:p>
    <w:p w14:paraId="34C50DF2" w14:textId="6E183036" w:rsidR="007D6391" w:rsidRDefault="007D6391" w:rsidP="007D6391">
      <w:pPr>
        <w:spacing w:line="360" w:lineRule="auto"/>
      </w:pPr>
      <w:r>
        <w:t>Zgodnie z powyżej przedstawionym rozróżnieniem postępowań karnych (publicznoskargowe, prywatnoskargowe), jeżeli dysponujemy materiałem potwierdzającym hejt w Internecie należy zabezpieczyć dane (screen, nagranie) i przekazać materiał na komisariat policji, która przejmie prowadzenia postępowania. W przypadku, gdy hejt ma formę czynu zabronionego ściganego z oskarżenia prywatnego, na pokrzywdzonym ciąży obowiązek zebrania dowodów i sporządzenia prywatnego aktu oskarżenia, który zostanie skierowany do sądu.</w:t>
      </w:r>
      <w:r w:rsidR="0019036A">
        <w:t xml:space="preserve"> </w:t>
      </w:r>
      <w:r>
        <w:t>W przypadku osób nieletnich, zasadnym jest zgłoszenie hejtu w szkole,</w:t>
      </w:r>
      <w:r w:rsidR="0019036A">
        <w:t xml:space="preserve"> </w:t>
      </w:r>
      <w:r>
        <w:t xml:space="preserve">a nawet do ośrodka pomocy społecznej. Oba podmioty mają możliwość zgłoszenia </w:t>
      </w:r>
      <w:r>
        <w:lastRenderedPageBreak/>
        <w:t>stwierdzonego incydentu do sądu.  Niewątpliwie osoby nieletnie powinny zgłosić rodzicom, bez względu na to czy spostrzegły hejt wobec innych osób, czy same jego doświadczają.</w:t>
      </w:r>
      <w:r w:rsidR="0019036A">
        <w:t xml:space="preserve"> </w:t>
      </w:r>
      <w:r>
        <w:t>Warto wiedzieć, że zjawisko hejtu w Internecie jest monitorowane. Istnieje kilka ogólnopolskich podmiotów (fundacji, stowarzyszeń), które zajmują się tym problemem i zachęcają do zgłaszania przejawów hejtu, najczęściej</w:t>
      </w:r>
      <w:r w:rsidR="0019036A">
        <w:t xml:space="preserve"> </w:t>
      </w:r>
      <w:r>
        <w:t>w wybranym przez siebie obszarze (np.: mniejszości narodowe).</w:t>
      </w:r>
      <w:r w:rsidR="0019036A">
        <w:t xml:space="preserve"> </w:t>
      </w:r>
      <w:r>
        <w:t>Istnieją strony internetowe, portale czy grupy, gdzie można zgłaszać przejawy hejtu, i tak funkcjonuje:</w:t>
      </w:r>
    </w:p>
    <w:p w14:paraId="63F58C65" w14:textId="431A4B01" w:rsidR="007D6391" w:rsidRDefault="007D6391" w:rsidP="007D6391">
      <w:pPr>
        <w:spacing w:line="360" w:lineRule="auto"/>
      </w:pPr>
      <w:r>
        <w:t></w:t>
      </w:r>
      <w:r>
        <w:tab/>
      </w:r>
      <w:hyperlink r:id="rId8" w:history="1">
        <w:r w:rsidR="003149A5" w:rsidRPr="003149A5">
          <w:rPr>
            <w:rStyle w:val="Hipercze"/>
          </w:rPr>
          <w:t>Ośrodek Monitorowania Rasistowskich i Ksenofobicznych</w:t>
        </w:r>
      </w:hyperlink>
    </w:p>
    <w:p w14:paraId="5E17E065" w14:textId="16268733" w:rsidR="007D6391" w:rsidRDefault="007D6391" w:rsidP="007D6391">
      <w:pPr>
        <w:spacing w:line="360" w:lineRule="auto"/>
      </w:pPr>
      <w:r>
        <w:t></w:t>
      </w:r>
      <w:r>
        <w:tab/>
      </w:r>
      <w:hyperlink r:id="rId9" w:history="1">
        <w:r w:rsidR="009749B6" w:rsidRPr="009749B6">
          <w:rPr>
            <w:rStyle w:val="Hipercze"/>
          </w:rPr>
          <w:t>NASK Dyżurnet.pl</w:t>
        </w:r>
      </w:hyperlink>
    </w:p>
    <w:p w14:paraId="55087D7F" w14:textId="77CBE1DB" w:rsidR="007D6391" w:rsidRDefault="007D6391" w:rsidP="007D6391">
      <w:pPr>
        <w:spacing w:line="360" w:lineRule="auto"/>
      </w:pPr>
      <w:r>
        <w:t></w:t>
      </w:r>
      <w:r>
        <w:tab/>
      </w:r>
      <w:hyperlink r:id="rId10" w:history="1">
        <w:r w:rsidR="009749B6" w:rsidRPr="009749B6">
          <w:rPr>
            <w:rStyle w:val="Hipercze"/>
          </w:rPr>
          <w:t>Stowarzyszenie NIGDY WIĘCEJ</w:t>
        </w:r>
      </w:hyperlink>
    </w:p>
    <w:p w14:paraId="059F1C70" w14:textId="41C3662D" w:rsidR="007D6391" w:rsidRDefault="007D6391" w:rsidP="007D6391">
      <w:pPr>
        <w:spacing w:line="360" w:lineRule="auto"/>
      </w:pPr>
      <w:r>
        <w:t>Portal społecznościowy Facebook ma możliwość zgłaszania treści „nieodpowiednich” administracji i to zarówno w kontekście strony, grupy, postu czy komentarza.</w:t>
      </w:r>
    </w:p>
    <w:p w14:paraId="18FE39A0" w14:textId="1E2AF556" w:rsidR="007D6391" w:rsidRDefault="00674F70" w:rsidP="00534FF0">
      <w:pPr>
        <w:pStyle w:val="Nagwek3"/>
        <w:numPr>
          <w:ilvl w:val="0"/>
          <w:numId w:val="63"/>
        </w:numPr>
      </w:pPr>
      <w:bookmarkStart w:id="8" w:name="_Toc136859764"/>
      <w:r>
        <w:t>Odpowiedzialność cywilna</w:t>
      </w:r>
      <w:bookmarkEnd w:id="8"/>
    </w:p>
    <w:p w14:paraId="1D4C0FDA" w14:textId="7E5AC323" w:rsidR="00534FF0" w:rsidRDefault="00534FF0" w:rsidP="00534FF0">
      <w:pPr>
        <w:spacing w:line="360" w:lineRule="auto"/>
      </w:pPr>
      <w:r>
        <w:t>Zgodnie z art. 24 kodeksu cywilnego: ten, kogo dobro osobiste zostaje zagrożone cudzym działaniem, może żądać zaniechania tego działania, chyba że nie jest ono bezprawne. W razie dokonanego naruszenia może on także żądać, ażeby osoba, która dopuściła się naruszenia, dopełniła czynności potrzebnych do usunięcia jego skutków, w szczególności ażeby złożyła oświadczenie odpowiedniej treści i w odpowiedniej formie. Na zasadach przewidzianych w Kodeksie może on również żądać zadośćuczynienia pieniężnego lub zapłaty odpowiedniej sumy pieniężnej na wskazany cel społeczny. Jeżeli wskutek naruszenia dobra osobistego została wyrządzona szkoda majątkowa, poszkodowany może żądać jej naprawienia na zasadach ogólnych. A zatem, osoba, która stała się ofiarą hejtu, gdy jej  dobro osobiste zostało zagrożone bądź naruszone może na drodze cywilnej żądać:</w:t>
      </w:r>
    </w:p>
    <w:p w14:paraId="0A08D7D2" w14:textId="77777777" w:rsidR="00534FF0" w:rsidRDefault="00534FF0" w:rsidP="00534FF0">
      <w:pPr>
        <w:spacing w:line="360" w:lineRule="auto"/>
      </w:pPr>
      <w:r>
        <w:lastRenderedPageBreak/>
        <w:t></w:t>
      </w:r>
      <w:r>
        <w:tab/>
        <w:t>zaniechania działania, które narusza dobra osobiste takiej osoby np.: usunięcia komentarza, wpisu, artykułu;</w:t>
      </w:r>
    </w:p>
    <w:p w14:paraId="104C3A8E" w14:textId="77777777" w:rsidR="00534FF0" w:rsidRDefault="00534FF0" w:rsidP="00534FF0">
      <w:pPr>
        <w:spacing w:line="360" w:lineRule="auto"/>
      </w:pPr>
      <w:r>
        <w:t></w:t>
      </w:r>
      <w:r>
        <w:tab/>
        <w:t>usunięcia skutków naruszenia dobra osobistego np.: sprostowania opublikowanych treści, informacji; opublikowania przeprosin;</w:t>
      </w:r>
    </w:p>
    <w:p w14:paraId="576F13F4" w14:textId="77777777" w:rsidR="00534FF0" w:rsidRDefault="00534FF0" w:rsidP="00534FF0">
      <w:pPr>
        <w:spacing w:line="360" w:lineRule="auto"/>
      </w:pPr>
      <w:r>
        <w:t></w:t>
      </w:r>
      <w:r>
        <w:tab/>
        <w:t>zadośćuczynienia;</w:t>
      </w:r>
    </w:p>
    <w:p w14:paraId="5B5D6496" w14:textId="77777777" w:rsidR="00534FF0" w:rsidRDefault="00534FF0" w:rsidP="00534FF0">
      <w:pPr>
        <w:spacing w:line="360" w:lineRule="auto"/>
      </w:pPr>
      <w:r>
        <w:t></w:t>
      </w:r>
      <w:r>
        <w:tab/>
        <w:t>zapłaty określonej sumy pieniężnej na wybrany cel społeczny;</w:t>
      </w:r>
    </w:p>
    <w:p w14:paraId="75D9AB65" w14:textId="28E8AC61" w:rsidR="00534FF0" w:rsidRDefault="00534FF0" w:rsidP="00534FF0">
      <w:pPr>
        <w:spacing w:line="360" w:lineRule="auto"/>
      </w:pPr>
      <w:r>
        <w:t></w:t>
      </w:r>
      <w:r>
        <w:tab/>
        <w:t>odszkodowania.</w:t>
      </w:r>
    </w:p>
    <w:p w14:paraId="6FDF13DA" w14:textId="56999C10" w:rsidR="00534FF0" w:rsidRDefault="00190118" w:rsidP="00190118">
      <w:pPr>
        <w:pStyle w:val="Nagwek3"/>
        <w:numPr>
          <w:ilvl w:val="0"/>
          <w:numId w:val="63"/>
        </w:numPr>
      </w:pPr>
      <w:bookmarkStart w:id="9" w:name="_Toc136859765"/>
      <w:r>
        <w:t>Czym są dobra osobiste?</w:t>
      </w:r>
      <w:bookmarkEnd w:id="9"/>
    </w:p>
    <w:p w14:paraId="56119F44" w14:textId="74E49269" w:rsidR="00190118" w:rsidRDefault="00190118" w:rsidP="00190118">
      <w:pPr>
        <w:spacing w:line="360" w:lineRule="auto"/>
      </w:pPr>
      <w:r>
        <w:t>Dobrami osobistymi są powszechnie uznane w społeczeństwie wartości niemajątkowe związane ściśle z osobą człowieka i będące przejawami godności osoby ludzkiej, obejmujące przede wszystkim integralność fizyczną i psychiczną oraz indywidualność człowieka. [E. Gniewek, P. Machnikowski (red.), Kodeks cywilny. Komentarz. Wyd. 10, Warszawa 2021]. Dobra osobiste człowieka wymienione są w art. 23 kodeksu cywilnego, są to w szczególności: zdrowie, wolność, cześć, swoboda sumienia, nazwisko lub pseudonim, wizerunek, tajemnica korespondencji, nietykalność mieszkania, twórczość naukowa, artystyczna, wynalazcza i racjonalizatorska, pozostają pod ochroną prawa cywilnego niezależnie od ochrony przewidzianej w innych przepisach.</w:t>
      </w:r>
    </w:p>
    <w:p w14:paraId="5F7C2984" w14:textId="606E0094" w:rsidR="00190118" w:rsidRDefault="00164FC3" w:rsidP="00164FC3">
      <w:pPr>
        <w:pStyle w:val="Nagwek3"/>
        <w:numPr>
          <w:ilvl w:val="0"/>
          <w:numId w:val="63"/>
        </w:numPr>
      </w:pPr>
      <w:bookmarkStart w:id="10" w:name="_Toc136859766"/>
      <w:r>
        <w:t>Gdzie zainicjować sprawę cywilną o ochronę dóbr osobistych?</w:t>
      </w:r>
      <w:bookmarkEnd w:id="10"/>
    </w:p>
    <w:p w14:paraId="0B6C3DB9" w14:textId="4FCDE881" w:rsidR="00164FC3" w:rsidRPr="00164FC3" w:rsidRDefault="00164FC3" w:rsidP="00BC7C2B">
      <w:pPr>
        <w:spacing w:line="360" w:lineRule="auto"/>
      </w:pPr>
      <w:r>
        <w:t xml:space="preserve">Osoba dochodząca ochrony dobra osobistego może, na podstawie art. 35 k.p.c., wytoczyć powództwo przed sąd, w którego okręgu działał sprawca, lub przed sąd, w którego okręgu to działanie spowodowało zagrożenie lub naruszenie dobra osobistego.” Uchwała Sądu Najwyższego z dnia 15 grudnia 2017 r. III CZP 91/17. Warto wiedzieć, że nawet gdy dany czyn nie wypełnia znamiona przestępstwa, to automatycznie nie oznacza, że nie naruszył lub zagroził naszemu dobru </w:t>
      </w:r>
      <w:r>
        <w:lastRenderedPageBreak/>
        <w:t>osobistemu. Postępowanie karne i cywilne toczą się niezależnie. Jednakże, ustalenia wydanego w postępowaniu karnym prawomocnego wyroku skazującego co do popełnienia przestępstwa wiążą sąd w postępowaniu cywilnym.</w:t>
      </w:r>
    </w:p>
    <w:p w14:paraId="2038C721" w14:textId="77777777" w:rsidR="00C9762A" w:rsidRDefault="00C9762A" w:rsidP="00C9762A">
      <w:pPr>
        <w:pStyle w:val="Nagwek2"/>
      </w:pPr>
      <w:bookmarkStart w:id="11" w:name="_Toc136859767"/>
      <w:r w:rsidRPr="00766EC7">
        <w:t>Stowarzyszenie "</w:t>
      </w:r>
      <w:r>
        <w:t>D</w:t>
      </w:r>
      <w:r w:rsidRPr="00766EC7">
        <w:t>ogma" zaprasza do punktów</w:t>
      </w:r>
      <w:r>
        <w:t xml:space="preserve"> </w:t>
      </w:r>
      <w:r w:rsidRPr="00766EC7">
        <w:t xml:space="preserve">poradniczych prowadzonych w </w:t>
      </w:r>
      <w:r>
        <w:t>P</w:t>
      </w:r>
      <w:r w:rsidRPr="00766EC7">
        <w:t xml:space="preserve">owiecie </w:t>
      </w:r>
      <w:r>
        <w:t>P</w:t>
      </w:r>
      <w:r w:rsidRPr="00766EC7">
        <w:t>szczyńskim</w:t>
      </w:r>
      <w:bookmarkEnd w:id="11"/>
    </w:p>
    <w:p w14:paraId="3D3C0705" w14:textId="77777777" w:rsidR="00C9762A" w:rsidRPr="00766EC7" w:rsidRDefault="00C9762A" w:rsidP="00C9762A">
      <w:pPr>
        <w:pStyle w:val="Akapitzlist"/>
        <w:numPr>
          <w:ilvl w:val="0"/>
          <w:numId w:val="60"/>
        </w:numPr>
        <w:spacing w:after="160" w:line="360" w:lineRule="auto"/>
        <w:jc w:val="both"/>
        <w:rPr>
          <w:rFonts w:cs="Arial"/>
          <w:szCs w:val="24"/>
        </w:rPr>
      </w:pPr>
      <w:r>
        <w:t>Punkt Nieodpłatnej Pomocy Prawnej Gminny Ośrodek Kultury (Goczałkowice-Zdrój) ul. Uzdrowiskowa 61, Środa i piątek od 11.00 do 15.00</w:t>
      </w:r>
      <w:r w:rsidRPr="003B236D">
        <w:t xml:space="preserve"> </w:t>
      </w:r>
    </w:p>
    <w:p w14:paraId="42E60FFA" w14:textId="77777777" w:rsidR="00C9762A" w:rsidRDefault="00C9762A" w:rsidP="00C9762A">
      <w:pPr>
        <w:pStyle w:val="Akapitzlist"/>
        <w:numPr>
          <w:ilvl w:val="0"/>
          <w:numId w:val="60"/>
        </w:numPr>
        <w:spacing w:after="160" w:line="360" w:lineRule="auto"/>
        <w:jc w:val="both"/>
        <w:rPr>
          <w:rFonts w:cs="Arial"/>
          <w:szCs w:val="24"/>
        </w:rPr>
      </w:pPr>
      <w:r w:rsidRPr="00766EC7">
        <w:rPr>
          <w:rFonts w:cs="Arial"/>
          <w:szCs w:val="24"/>
        </w:rPr>
        <w:t>Punkt Nieodpłatnej Pomocy Prawnej Lokal biurowy (Wola), ul. Poprzeczna 1</w:t>
      </w:r>
      <w:r>
        <w:rPr>
          <w:rFonts w:cs="Arial"/>
          <w:szCs w:val="24"/>
        </w:rPr>
        <w:t>, Poniedziałek od 13.00 do 17.00, Wtorek od 11.00 do 15.00, Czwartek od 8.00 do 12.00.</w:t>
      </w:r>
    </w:p>
    <w:p w14:paraId="0EFFB666" w14:textId="77777777" w:rsidR="00C9762A" w:rsidRDefault="00C9762A" w:rsidP="00C9762A">
      <w:pPr>
        <w:pStyle w:val="Akapitzlist"/>
        <w:numPr>
          <w:ilvl w:val="0"/>
          <w:numId w:val="60"/>
        </w:numPr>
        <w:spacing w:after="160" w:line="360" w:lineRule="auto"/>
        <w:jc w:val="both"/>
        <w:rPr>
          <w:rFonts w:cs="Arial"/>
          <w:szCs w:val="24"/>
        </w:rPr>
      </w:pPr>
      <w:r w:rsidRPr="0098245F">
        <w:rPr>
          <w:rFonts w:cs="Arial"/>
          <w:szCs w:val="24"/>
        </w:rPr>
        <w:t>Punkt Nieodpłatnego Poradnictwa Obywatelskiego Lokal biurowy (Kobiór), ul. Centralna 57 (były Hotel Robotniczy, wejście od strony stawu, parter)</w:t>
      </w:r>
      <w:r>
        <w:rPr>
          <w:rFonts w:cs="Arial"/>
          <w:szCs w:val="24"/>
        </w:rPr>
        <w:t>, Poniedziałek i piątek od 16.00 do 20.00</w:t>
      </w:r>
    </w:p>
    <w:p w14:paraId="030532F6" w14:textId="77777777" w:rsidR="00C9762A" w:rsidRDefault="00C9762A" w:rsidP="00C9762A">
      <w:pPr>
        <w:pStyle w:val="Akapitzlist"/>
        <w:numPr>
          <w:ilvl w:val="0"/>
          <w:numId w:val="60"/>
        </w:numPr>
        <w:spacing w:after="160" w:line="360" w:lineRule="auto"/>
        <w:jc w:val="both"/>
        <w:rPr>
          <w:rFonts w:cs="Arial"/>
          <w:szCs w:val="24"/>
        </w:rPr>
      </w:pPr>
      <w:r w:rsidRPr="0098245F">
        <w:rPr>
          <w:rFonts w:cs="Arial"/>
          <w:szCs w:val="24"/>
        </w:rPr>
        <w:t>Punkt Nieodpłatnego Poradnictwa Obywatelskiego Gminny Ośrodek Kultury w Suszcu, ul. Ogrodowa 22</w:t>
      </w:r>
      <w:r>
        <w:rPr>
          <w:rFonts w:cs="Arial"/>
          <w:szCs w:val="24"/>
        </w:rPr>
        <w:t>, Wtorek od 7.30 do 11.30, Środa od 14.00 do 18.00, Czwartek od 10.00 do 14.00</w:t>
      </w:r>
    </w:p>
    <w:p w14:paraId="7980BAEA" w14:textId="77777777" w:rsidR="00C9762A" w:rsidRDefault="00C9762A" w:rsidP="00C9762A">
      <w:pPr>
        <w:pStyle w:val="Nagwek2"/>
      </w:pPr>
      <w:bookmarkStart w:id="12" w:name="_Toc136859768"/>
      <w:r>
        <w:t>Inne punkty nieodpłatnej pomocy prawnej</w:t>
      </w:r>
      <w:bookmarkEnd w:id="12"/>
    </w:p>
    <w:p w14:paraId="5A8FA203" w14:textId="77777777" w:rsidR="00C9762A" w:rsidRDefault="00C9762A" w:rsidP="00C9762A">
      <w:pPr>
        <w:pStyle w:val="Akapitzlist"/>
        <w:numPr>
          <w:ilvl w:val="0"/>
          <w:numId w:val="61"/>
        </w:numPr>
        <w:spacing w:after="160" w:line="360" w:lineRule="auto"/>
      </w:pPr>
      <w:r w:rsidRPr="00F252E8">
        <w:t>Lokal biurowy przy ul. 3 Maja 15, 43-200 Pszczyna</w:t>
      </w:r>
      <w:r>
        <w:t>, Poniedziałek od 12.00 do 16.00, Wtorek, czwartek, piątek od 8.00 do 12.00, Środa od 14.00 do 18.00</w:t>
      </w:r>
    </w:p>
    <w:p w14:paraId="5347395C" w14:textId="77777777" w:rsidR="00C9762A" w:rsidRPr="00E96537" w:rsidRDefault="00C9762A" w:rsidP="00C9762A">
      <w:pPr>
        <w:pStyle w:val="Akapitzlist"/>
        <w:numPr>
          <w:ilvl w:val="0"/>
          <w:numId w:val="61"/>
        </w:numPr>
        <w:spacing w:after="160" w:line="360" w:lineRule="auto"/>
      </w:pPr>
      <w:r>
        <w:t>Lokal biurowy nr 201 w Domu Kultury w Pawłowicach na Osiedlu przy ul. Wojska Polskiego 11 43-250 Pawłowice (GOK), Poniedziałek, środa, czwartek od 9.00 do 13.00, Wtorek, piątek od 15.00 do 19.00.</w:t>
      </w:r>
    </w:p>
    <w:p w14:paraId="6E706A51" w14:textId="77777777" w:rsidR="00C9762A" w:rsidRPr="00D274C3" w:rsidRDefault="00C9762A" w:rsidP="00C9762A">
      <w:pPr>
        <w:spacing w:line="360" w:lineRule="auto"/>
        <w:jc w:val="both"/>
        <w:rPr>
          <w:rFonts w:cs="Arial"/>
          <w:szCs w:val="24"/>
        </w:rPr>
      </w:pPr>
      <w:r w:rsidRPr="00D274C3">
        <w:rPr>
          <w:rFonts w:cs="Arial"/>
          <w:szCs w:val="24"/>
        </w:rPr>
        <w:t>Zadanie publiczne finansowane ze środków otrzymanych z Powiatu Pszczyńskiego.</w:t>
      </w:r>
    </w:p>
    <w:p w14:paraId="69AB94D8" w14:textId="77777777" w:rsidR="00C9762A" w:rsidRPr="00D05C67" w:rsidRDefault="00C9762A" w:rsidP="00744540">
      <w:pPr>
        <w:spacing w:line="360" w:lineRule="auto"/>
        <w:rPr>
          <w:rFonts w:cs="Arial"/>
          <w:szCs w:val="24"/>
        </w:rPr>
      </w:pPr>
      <w:r>
        <w:rPr>
          <w:noProof/>
        </w:rPr>
        <w:lastRenderedPageBreak/>
        <w:drawing>
          <wp:inline distT="0" distB="0" distL="0" distR="0" wp14:anchorId="767A0033" wp14:editId="6F65E00B">
            <wp:extent cx="3614153" cy="752475"/>
            <wp:effectExtent l="0" t="0" r="5715" b="0"/>
            <wp:docPr id="3" name="Grafika 3" descr="Logotypy Powiatu Pszczyńskiego, Ministerstwa Sprawiedliwości i Stowarzyszenia DOG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a 3" descr="Logotypy Powiatu Pszczyńskiego, Ministerstwa Sprawiedliwości i Stowarzyszenia DOGMA"/>
                    <pic:cNvPicPr/>
                  </pic:nvPicPr>
                  <pic:blipFill>
                    <a:blip r:embed="rId11">
                      <a:extLst>
                        <a:ext uri="{96DAC541-7B7A-43D3-8B79-37D633B846F1}">
                          <asvg:svgBlip xmlns:asvg="http://schemas.microsoft.com/office/drawing/2016/SVG/main" r:embed="rId12"/>
                        </a:ext>
                      </a:extLst>
                    </a:blip>
                    <a:stretch>
                      <a:fillRect/>
                    </a:stretch>
                  </pic:blipFill>
                  <pic:spPr>
                    <a:xfrm>
                      <a:off x="0" y="0"/>
                      <a:ext cx="3673577" cy="764847"/>
                    </a:xfrm>
                    <a:prstGeom prst="rect">
                      <a:avLst/>
                    </a:prstGeom>
                  </pic:spPr>
                </pic:pic>
              </a:graphicData>
            </a:graphic>
          </wp:inline>
        </w:drawing>
      </w:r>
    </w:p>
    <w:sectPr w:rsidR="00C9762A" w:rsidRPr="00D05C67" w:rsidSect="00042104">
      <w:footerReference w:type="default" r:id="rId13"/>
      <w:pgSz w:w="8391" w:h="11906" w:code="11"/>
      <w:pgMar w:top="851" w:right="851" w:bottom="851" w:left="1021" w:header="709" w:footer="340"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DC781" w14:textId="77777777" w:rsidR="00A069F7" w:rsidRDefault="00A069F7" w:rsidP="007A0804">
      <w:pPr>
        <w:spacing w:after="0" w:line="240" w:lineRule="auto"/>
      </w:pPr>
      <w:r>
        <w:separator/>
      </w:r>
    </w:p>
  </w:endnote>
  <w:endnote w:type="continuationSeparator" w:id="0">
    <w:p w14:paraId="047729E6" w14:textId="77777777" w:rsidR="00A069F7" w:rsidRDefault="00A069F7" w:rsidP="007A0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6294269"/>
      <w:docPartObj>
        <w:docPartGallery w:val="Page Numbers (Bottom of Page)"/>
        <w:docPartUnique/>
      </w:docPartObj>
    </w:sdtPr>
    <w:sdtContent>
      <w:p w14:paraId="39CBFEB5" w14:textId="6ED3C084" w:rsidR="006E023B" w:rsidRDefault="006E023B">
        <w:pPr>
          <w:pStyle w:val="Stopka"/>
          <w:jc w:val="center"/>
        </w:pPr>
        <w:r>
          <w:fldChar w:fldCharType="begin"/>
        </w:r>
        <w:r>
          <w:instrText>PAGE   \* MERGEFORMAT</w:instrText>
        </w:r>
        <w:r>
          <w:fldChar w:fldCharType="separate"/>
        </w:r>
        <w:r>
          <w:t>2</w:t>
        </w:r>
        <w:r>
          <w:fldChar w:fldCharType="end"/>
        </w:r>
      </w:p>
    </w:sdtContent>
  </w:sdt>
  <w:p w14:paraId="0895236F" w14:textId="77777777" w:rsidR="006E023B" w:rsidRDefault="006E023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891E1" w14:textId="77777777" w:rsidR="00A069F7" w:rsidRDefault="00A069F7" w:rsidP="007A0804">
      <w:pPr>
        <w:spacing w:after="0" w:line="240" w:lineRule="auto"/>
      </w:pPr>
      <w:r>
        <w:separator/>
      </w:r>
    </w:p>
  </w:footnote>
  <w:footnote w:type="continuationSeparator" w:id="0">
    <w:p w14:paraId="55BCD420" w14:textId="77777777" w:rsidR="00A069F7" w:rsidRDefault="00A069F7" w:rsidP="007A08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C5F"/>
    <w:multiLevelType w:val="hybridMultilevel"/>
    <w:tmpl w:val="8C6A3B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0200BB"/>
    <w:multiLevelType w:val="hybridMultilevel"/>
    <w:tmpl w:val="36B07294"/>
    <w:lvl w:ilvl="0" w:tplc="0415000F">
      <w:start w:val="1"/>
      <w:numFmt w:val="decimal"/>
      <w:lvlText w:val="%1."/>
      <w:lvlJc w:val="left"/>
      <w:pPr>
        <w:ind w:left="720" w:hanging="360"/>
      </w:pPr>
      <w:rPr>
        <w:rFonts w:hint="default"/>
      </w:rPr>
    </w:lvl>
    <w:lvl w:ilvl="1" w:tplc="16669162">
      <w:start w:val="3"/>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EB0C5C"/>
    <w:multiLevelType w:val="hybridMultilevel"/>
    <w:tmpl w:val="8BD6F2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264556"/>
    <w:multiLevelType w:val="hybridMultilevel"/>
    <w:tmpl w:val="94AC28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C73456F"/>
    <w:multiLevelType w:val="hybridMultilevel"/>
    <w:tmpl w:val="EB6ABEC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48C7B50"/>
    <w:multiLevelType w:val="hybridMultilevel"/>
    <w:tmpl w:val="49023F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4A37073"/>
    <w:multiLevelType w:val="hybridMultilevel"/>
    <w:tmpl w:val="80A6BE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89F433A"/>
    <w:multiLevelType w:val="hybridMultilevel"/>
    <w:tmpl w:val="7FAC7A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A2E1992"/>
    <w:multiLevelType w:val="hybridMultilevel"/>
    <w:tmpl w:val="600C3230"/>
    <w:lvl w:ilvl="0" w:tplc="D55A77EA">
      <w:start w:val="1"/>
      <w:numFmt w:val="bullet"/>
      <w:lvlText w:val=""/>
      <w:lvlJc w:val="left"/>
      <w:pPr>
        <w:ind w:left="1080" w:hanging="360"/>
      </w:pPr>
      <w:rPr>
        <w:rFonts w:ascii="Symbol" w:hAnsi="Symbol" w:hint="default"/>
        <w:color w:val="auto"/>
      </w:rPr>
    </w:lvl>
    <w:lvl w:ilvl="1" w:tplc="CC74F1A0">
      <w:numFmt w:val="bullet"/>
      <w:lvlText w:val="•"/>
      <w:lvlJc w:val="left"/>
      <w:pPr>
        <w:ind w:left="1800" w:hanging="360"/>
      </w:pPr>
      <w:rPr>
        <w:rFonts w:ascii="Arial" w:eastAsiaTheme="minorHAnsi" w:hAnsi="Arial" w:cs="Arial"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1ADE5A6C"/>
    <w:multiLevelType w:val="hybridMultilevel"/>
    <w:tmpl w:val="E660A208"/>
    <w:lvl w:ilvl="0" w:tplc="FFFFFFFF">
      <w:start w:val="1"/>
      <w:numFmt w:val="decimal"/>
      <w:lvlText w:val="%1."/>
      <w:lvlJc w:val="left"/>
      <w:pPr>
        <w:ind w:left="720" w:hanging="360"/>
      </w:pPr>
      <w:rPr>
        <w:rFonts w:hint="default"/>
      </w:rPr>
    </w:lvl>
    <w:lvl w:ilvl="1" w:tplc="FFFFFFFF">
      <w:numFmt w:val="bullet"/>
      <w:lvlText w:val="•"/>
      <w:lvlJc w:val="left"/>
      <w:pPr>
        <w:ind w:left="1440" w:hanging="360"/>
      </w:pPr>
      <w:rPr>
        <w:rFonts w:ascii="Arial" w:eastAsiaTheme="minorHAnsi"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0E587A"/>
    <w:multiLevelType w:val="hybridMultilevel"/>
    <w:tmpl w:val="CB366F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D6A1890"/>
    <w:multiLevelType w:val="hybridMultilevel"/>
    <w:tmpl w:val="80605C62"/>
    <w:lvl w:ilvl="0" w:tplc="C0F634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2F27B3"/>
    <w:multiLevelType w:val="hybridMultilevel"/>
    <w:tmpl w:val="9614FB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20C53BF"/>
    <w:multiLevelType w:val="hybridMultilevel"/>
    <w:tmpl w:val="1F348B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4475E4E"/>
    <w:multiLevelType w:val="hybridMultilevel"/>
    <w:tmpl w:val="E660A208"/>
    <w:lvl w:ilvl="0" w:tplc="FFFFFFFF">
      <w:start w:val="1"/>
      <w:numFmt w:val="decimal"/>
      <w:lvlText w:val="%1."/>
      <w:lvlJc w:val="left"/>
      <w:pPr>
        <w:ind w:left="720" w:hanging="360"/>
      </w:pPr>
      <w:rPr>
        <w:rFonts w:hint="default"/>
      </w:rPr>
    </w:lvl>
    <w:lvl w:ilvl="1" w:tplc="FFFFFFFF">
      <w:numFmt w:val="bullet"/>
      <w:lvlText w:val="•"/>
      <w:lvlJc w:val="left"/>
      <w:pPr>
        <w:ind w:left="1440" w:hanging="360"/>
      </w:pPr>
      <w:rPr>
        <w:rFonts w:ascii="Arial" w:eastAsiaTheme="minorHAnsi"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45A5922"/>
    <w:multiLevelType w:val="hybridMultilevel"/>
    <w:tmpl w:val="3E86FC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4CD1187"/>
    <w:multiLevelType w:val="hybridMultilevel"/>
    <w:tmpl w:val="E660A208"/>
    <w:lvl w:ilvl="0" w:tplc="FFFFFFFF">
      <w:start w:val="1"/>
      <w:numFmt w:val="decimal"/>
      <w:lvlText w:val="%1."/>
      <w:lvlJc w:val="left"/>
      <w:pPr>
        <w:ind w:left="720" w:hanging="360"/>
      </w:pPr>
      <w:rPr>
        <w:rFonts w:hint="default"/>
      </w:rPr>
    </w:lvl>
    <w:lvl w:ilvl="1" w:tplc="FFFFFFFF">
      <w:numFmt w:val="bullet"/>
      <w:lvlText w:val="•"/>
      <w:lvlJc w:val="left"/>
      <w:pPr>
        <w:ind w:left="1440" w:hanging="360"/>
      </w:pPr>
      <w:rPr>
        <w:rFonts w:ascii="Arial" w:eastAsiaTheme="minorHAnsi"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8132CC9"/>
    <w:multiLevelType w:val="hybridMultilevel"/>
    <w:tmpl w:val="A8DEEFD4"/>
    <w:lvl w:ilvl="0" w:tplc="D7A0C39C">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BA81029"/>
    <w:multiLevelType w:val="hybridMultilevel"/>
    <w:tmpl w:val="5F1C2E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DBD56E1"/>
    <w:multiLevelType w:val="hybridMultilevel"/>
    <w:tmpl w:val="6BC4B1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EF769A5"/>
    <w:multiLevelType w:val="hybridMultilevel"/>
    <w:tmpl w:val="E660A208"/>
    <w:lvl w:ilvl="0" w:tplc="FFFFFFFF">
      <w:start w:val="1"/>
      <w:numFmt w:val="decimal"/>
      <w:lvlText w:val="%1."/>
      <w:lvlJc w:val="left"/>
      <w:pPr>
        <w:ind w:left="720" w:hanging="360"/>
      </w:pPr>
      <w:rPr>
        <w:rFonts w:hint="default"/>
      </w:rPr>
    </w:lvl>
    <w:lvl w:ilvl="1" w:tplc="FFFFFFFF">
      <w:numFmt w:val="bullet"/>
      <w:lvlText w:val="•"/>
      <w:lvlJc w:val="left"/>
      <w:pPr>
        <w:ind w:left="1440" w:hanging="360"/>
      </w:pPr>
      <w:rPr>
        <w:rFonts w:ascii="Arial" w:eastAsiaTheme="minorHAnsi"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F3823CB"/>
    <w:multiLevelType w:val="hybridMultilevel"/>
    <w:tmpl w:val="94B677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73D5725"/>
    <w:multiLevelType w:val="hybridMultilevel"/>
    <w:tmpl w:val="F93AE2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A353549"/>
    <w:multiLevelType w:val="hybridMultilevel"/>
    <w:tmpl w:val="E55EE6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BAC6B1C"/>
    <w:multiLevelType w:val="hybridMultilevel"/>
    <w:tmpl w:val="AF6682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E797423"/>
    <w:multiLevelType w:val="hybridMultilevel"/>
    <w:tmpl w:val="4CFAA1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F85051C"/>
    <w:multiLevelType w:val="hybridMultilevel"/>
    <w:tmpl w:val="0BBA1D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FE72FD5"/>
    <w:multiLevelType w:val="hybridMultilevel"/>
    <w:tmpl w:val="E660A208"/>
    <w:lvl w:ilvl="0" w:tplc="FFFFFFFF">
      <w:start w:val="1"/>
      <w:numFmt w:val="decimal"/>
      <w:lvlText w:val="%1."/>
      <w:lvlJc w:val="left"/>
      <w:pPr>
        <w:ind w:left="720" w:hanging="360"/>
      </w:pPr>
      <w:rPr>
        <w:rFonts w:hint="default"/>
      </w:rPr>
    </w:lvl>
    <w:lvl w:ilvl="1" w:tplc="FFFFFFFF">
      <w:numFmt w:val="bullet"/>
      <w:lvlText w:val="•"/>
      <w:lvlJc w:val="left"/>
      <w:pPr>
        <w:ind w:left="1440" w:hanging="360"/>
      </w:pPr>
      <w:rPr>
        <w:rFonts w:ascii="Arial" w:eastAsiaTheme="minorHAnsi"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0D140EE"/>
    <w:multiLevelType w:val="hybridMultilevel"/>
    <w:tmpl w:val="348645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2660CFA"/>
    <w:multiLevelType w:val="hybridMultilevel"/>
    <w:tmpl w:val="03F073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792782F"/>
    <w:multiLevelType w:val="hybridMultilevel"/>
    <w:tmpl w:val="CBBA35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88E30EA"/>
    <w:multiLevelType w:val="hybridMultilevel"/>
    <w:tmpl w:val="80141C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9D82D26"/>
    <w:multiLevelType w:val="hybridMultilevel"/>
    <w:tmpl w:val="E17853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D3D6F5E"/>
    <w:multiLevelType w:val="hybridMultilevel"/>
    <w:tmpl w:val="E660A208"/>
    <w:lvl w:ilvl="0" w:tplc="45BA3C58">
      <w:start w:val="1"/>
      <w:numFmt w:val="decimal"/>
      <w:lvlText w:val="%1."/>
      <w:lvlJc w:val="left"/>
      <w:pPr>
        <w:ind w:left="720" w:hanging="360"/>
      </w:pPr>
      <w:rPr>
        <w:rFonts w:hint="default"/>
      </w:rPr>
    </w:lvl>
    <w:lvl w:ilvl="1" w:tplc="7EE22FA8">
      <w:numFmt w:val="bullet"/>
      <w:lvlText w:val="•"/>
      <w:lvlJc w:val="left"/>
      <w:pPr>
        <w:ind w:left="1440" w:hanging="360"/>
      </w:pPr>
      <w:rPr>
        <w:rFonts w:ascii="Arial" w:eastAsiaTheme="minorHAns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351097E"/>
    <w:multiLevelType w:val="hybridMultilevel"/>
    <w:tmpl w:val="8C6A3B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B591FAB"/>
    <w:multiLevelType w:val="hybridMultilevel"/>
    <w:tmpl w:val="17E295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BC30ACB"/>
    <w:multiLevelType w:val="hybridMultilevel"/>
    <w:tmpl w:val="75F2518A"/>
    <w:lvl w:ilvl="0" w:tplc="A754CDB0">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C0166F7"/>
    <w:multiLevelType w:val="hybridMultilevel"/>
    <w:tmpl w:val="CEC032B6"/>
    <w:lvl w:ilvl="0" w:tplc="A754CDB0">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D5E2212"/>
    <w:multiLevelType w:val="hybridMultilevel"/>
    <w:tmpl w:val="684CC6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08806AD"/>
    <w:multiLevelType w:val="multilevel"/>
    <w:tmpl w:val="9C4CA2D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40" w15:restartNumberingAfterBreak="0">
    <w:nsid w:val="670B5EFF"/>
    <w:multiLevelType w:val="hybridMultilevel"/>
    <w:tmpl w:val="69A2D8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81658F6"/>
    <w:multiLevelType w:val="hybridMultilevel"/>
    <w:tmpl w:val="C11E101E"/>
    <w:lvl w:ilvl="0" w:tplc="F62ED5B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A0C233C"/>
    <w:multiLevelType w:val="hybridMultilevel"/>
    <w:tmpl w:val="29723F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A841125"/>
    <w:multiLevelType w:val="hybridMultilevel"/>
    <w:tmpl w:val="CCA0D3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B196E0E"/>
    <w:multiLevelType w:val="hybridMultilevel"/>
    <w:tmpl w:val="4AD42D22"/>
    <w:lvl w:ilvl="0" w:tplc="C8C267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BE02C55"/>
    <w:multiLevelType w:val="hybridMultilevel"/>
    <w:tmpl w:val="FD149D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CB35769"/>
    <w:multiLevelType w:val="hybridMultilevel"/>
    <w:tmpl w:val="E7C625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CEF6C82"/>
    <w:multiLevelType w:val="hybridMultilevel"/>
    <w:tmpl w:val="F6A849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0067265"/>
    <w:multiLevelType w:val="hybridMultilevel"/>
    <w:tmpl w:val="D4FAF8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319618F"/>
    <w:multiLevelType w:val="hybridMultilevel"/>
    <w:tmpl w:val="0C4C1358"/>
    <w:lvl w:ilvl="0" w:tplc="D7A0C39C">
      <w:numFmt w:val="bullet"/>
      <w:lvlText w:val=""/>
      <w:lvlJc w:val="left"/>
      <w:pPr>
        <w:ind w:left="1080" w:hanging="360"/>
      </w:pPr>
      <w:rPr>
        <w:rFonts w:ascii="Calibri" w:eastAsiaTheme="minorHAnsi" w:hAnsi="Calibri"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0" w15:restartNumberingAfterBreak="0">
    <w:nsid w:val="73B232A6"/>
    <w:multiLevelType w:val="hybridMultilevel"/>
    <w:tmpl w:val="209696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41C39EB"/>
    <w:multiLevelType w:val="hybridMultilevel"/>
    <w:tmpl w:val="42BED3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472048C"/>
    <w:multiLevelType w:val="hybridMultilevel"/>
    <w:tmpl w:val="06A2F670"/>
    <w:lvl w:ilvl="0" w:tplc="703ADA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4EE2181"/>
    <w:multiLevelType w:val="hybridMultilevel"/>
    <w:tmpl w:val="16DAFD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6585AD2"/>
    <w:multiLevelType w:val="hybridMultilevel"/>
    <w:tmpl w:val="E03AAE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72B0792"/>
    <w:multiLevelType w:val="hybridMultilevel"/>
    <w:tmpl w:val="8C6A3B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9242083"/>
    <w:multiLevelType w:val="hybridMultilevel"/>
    <w:tmpl w:val="E660A208"/>
    <w:lvl w:ilvl="0" w:tplc="FFFFFFFF">
      <w:start w:val="1"/>
      <w:numFmt w:val="decimal"/>
      <w:lvlText w:val="%1."/>
      <w:lvlJc w:val="left"/>
      <w:pPr>
        <w:ind w:left="720" w:hanging="360"/>
      </w:pPr>
      <w:rPr>
        <w:rFonts w:hint="default"/>
      </w:rPr>
    </w:lvl>
    <w:lvl w:ilvl="1" w:tplc="FFFFFFFF">
      <w:numFmt w:val="bullet"/>
      <w:lvlText w:val="•"/>
      <w:lvlJc w:val="left"/>
      <w:pPr>
        <w:ind w:left="1440" w:hanging="360"/>
      </w:pPr>
      <w:rPr>
        <w:rFonts w:ascii="Arial" w:eastAsiaTheme="minorHAnsi"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9E508AB"/>
    <w:multiLevelType w:val="hybridMultilevel"/>
    <w:tmpl w:val="E998EAD2"/>
    <w:lvl w:ilvl="0" w:tplc="0B122E1A">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A531704"/>
    <w:multiLevelType w:val="hybridMultilevel"/>
    <w:tmpl w:val="B4BC09AE"/>
    <w:lvl w:ilvl="0" w:tplc="C818E378">
      <w:start w:val="1"/>
      <w:numFmt w:val="decimal"/>
      <w:lvlText w:val="%1."/>
      <w:lvlJc w:val="left"/>
      <w:pPr>
        <w:ind w:left="720" w:hanging="360"/>
      </w:pPr>
      <w:rPr>
        <w:rFonts w:ascii="Arial" w:hAnsi="Arial" w:cs="Arial" w:hint="default"/>
        <w:b/>
        <w:bCs/>
        <w:color w:val="7030A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C9A04A1"/>
    <w:multiLevelType w:val="hybridMultilevel"/>
    <w:tmpl w:val="6F28AD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7D254D8F"/>
    <w:multiLevelType w:val="hybridMultilevel"/>
    <w:tmpl w:val="8C6A3B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7D6311FC"/>
    <w:multiLevelType w:val="hybridMultilevel"/>
    <w:tmpl w:val="4042B0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7FD27E44"/>
    <w:multiLevelType w:val="hybridMultilevel"/>
    <w:tmpl w:val="91D2BB3C"/>
    <w:lvl w:ilvl="0" w:tplc="6AE2BB40">
      <w:start w:val="1"/>
      <w:numFmt w:val="decimal"/>
      <w:lvlText w:val="%1."/>
      <w:lvlJc w:val="left"/>
      <w:pPr>
        <w:ind w:left="720" w:hanging="360"/>
      </w:pPr>
      <w:rPr>
        <w:rFonts w:ascii="Arial" w:hAnsi="Arial" w:cs="Arial" w:hint="default"/>
        <w:b/>
        <w:bCs/>
        <w:color w:val="7030A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99548084">
    <w:abstractNumId w:val="44"/>
  </w:num>
  <w:num w:numId="2" w16cid:durableId="522283680">
    <w:abstractNumId w:val="52"/>
  </w:num>
  <w:num w:numId="3" w16cid:durableId="1659773007">
    <w:abstractNumId w:val="58"/>
  </w:num>
  <w:num w:numId="4" w16cid:durableId="1787188172">
    <w:abstractNumId w:val="51"/>
  </w:num>
  <w:num w:numId="5" w16cid:durableId="1068921116">
    <w:abstractNumId w:val="2"/>
  </w:num>
  <w:num w:numId="6" w16cid:durableId="2058553223">
    <w:abstractNumId w:val="53"/>
  </w:num>
  <w:num w:numId="7" w16cid:durableId="924999068">
    <w:abstractNumId w:val="57"/>
  </w:num>
  <w:num w:numId="8" w16cid:durableId="1854875383">
    <w:abstractNumId w:val="8"/>
  </w:num>
  <w:num w:numId="9" w16cid:durableId="1412118760">
    <w:abstractNumId w:val="11"/>
  </w:num>
  <w:num w:numId="10" w16cid:durableId="1739789329">
    <w:abstractNumId w:val="62"/>
  </w:num>
  <w:num w:numId="11" w16cid:durableId="362942360">
    <w:abstractNumId w:val="47"/>
  </w:num>
  <w:num w:numId="12" w16cid:durableId="988283667">
    <w:abstractNumId w:val="13"/>
  </w:num>
  <w:num w:numId="13" w16cid:durableId="883373284">
    <w:abstractNumId w:val="24"/>
  </w:num>
  <w:num w:numId="14" w16cid:durableId="1081099765">
    <w:abstractNumId w:val="61"/>
  </w:num>
  <w:num w:numId="15" w16cid:durableId="1748336424">
    <w:abstractNumId w:val="17"/>
  </w:num>
  <w:num w:numId="16" w16cid:durableId="668025702">
    <w:abstractNumId w:val="49"/>
  </w:num>
  <w:num w:numId="17" w16cid:durableId="1091002561">
    <w:abstractNumId w:val="4"/>
  </w:num>
  <w:num w:numId="18" w16cid:durableId="1826780211">
    <w:abstractNumId w:val="10"/>
  </w:num>
  <w:num w:numId="19" w16cid:durableId="98262426">
    <w:abstractNumId w:val="33"/>
  </w:num>
  <w:num w:numId="20" w16cid:durableId="524711105">
    <w:abstractNumId w:val="38"/>
  </w:num>
  <w:num w:numId="21" w16cid:durableId="2047948925">
    <w:abstractNumId w:val="29"/>
  </w:num>
  <w:num w:numId="22" w16cid:durableId="1861578263">
    <w:abstractNumId w:val="30"/>
  </w:num>
  <w:num w:numId="23" w16cid:durableId="372509208">
    <w:abstractNumId w:val="35"/>
  </w:num>
  <w:num w:numId="24" w16cid:durableId="1502696947">
    <w:abstractNumId w:val="0"/>
  </w:num>
  <w:num w:numId="25" w16cid:durableId="1870532248">
    <w:abstractNumId w:val="6"/>
  </w:num>
  <w:num w:numId="26" w16cid:durableId="170603562">
    <w:abstractNumId w:val="55"/>
  </w:num>
  <w:num w:numId="27" w16cid:durableId="1771509144">
    <w:abstractNumId w:val="18"/>
  </w:num>
  <w:num w:numId="28" w16cid:durableId="154032129">
    <w:abstractNumId w:val="43"/>
  </w:num>
  <w:num w:numId="29" w16cid:durableId="1775781191">
    <w:abstractNumId w:val="34"/>
  </w:num>
  <w:num w:numId="30" w16cid:durableId="1612467043">
    <w:abstractNumId w:val="31"/>
  </w:num>
  <w:num w:numId="31" w16cid:durableId="839270268">
    <w:abstractNumId w:val="28"/>
  </w:num>
  <w:num w:numId="32" w16cid:durableId="818300687">
    <w:abstractNumId w:val="60"/>
  </w:num>
  <w:num w:numId="33" w16cid:durableId="1506359676">
    <w:abstractNumId w:val="5"/>
  </w:num>
  <w:num w:numId="34" w16cid:durableId="165556639">
    <w:abstractNumId w:val="45"/>
  </w:num>
  <w:num w:numId="35" w16cid:durableId="176383232">
    <w:abstractNumId w:val="48"/>
  </w:num>
  <w:num w:numId="36" w16cid:durableId="1901011707">
    <w:abstractNumId w:val="12"/>
  </w:num>
  <w:num w:numId="37" w16cid:durableId="433746510">
    <w:abstractNumId w:val="40"/>
  </w:num>
  <w:num w:numId="38" w16cid:durableId="618337164">
    <w:abstractNumId w:val="7"/>
  </w:num>
  <w:num w:numId="39" w16cid:durableId="159277405">
    <w:abstractNumId w:val="16"/>
  </w:num>
  <w:num w:numId="40" w16cid:durableId="490561880">
    <w:abstractNumId w:val="15"/>
  </w:num>
  <w:num w:numId="41" w16cid:durableId="1770546048">
    <w:abstractNumId w:val="46"/>
  </w:num>
  <w:num w:numId="42" w16cid:durableId="1699424248">
    <w:abstractNumId w:val="39"/>
  </w:num>
  <w:num w:numId="43" w16cid:durableId="571307287">
    <w:abstractNumId w:val="23"/>
  </w:num>
  <w:num w:numId="44" w16cid:durableId="2123723389">
    <w:abstractNumId w:val="50"/>
  </w:num>
  <w:num w:numId="45" w16cid:durableId="848908379">
    <w:abstractNumId w:val="42"/>
  </w:num>
  <w:num w:numId="46" w16cid:durableId="562102896">
    <w:abstractNumId w:val="25"/>
  </w:num>
  <w:num w:numId="47" w16cid:durableId="1951860774">
    <w:abstractNumId w:val="32"/>
  </w:num>
  <w:num w:numId="48" w16cid:durableId="1200629059">
    <w:abstractNumId w:val="22"/>
  </w:num>
  <w:num w:numId="49" w16cid:durableId="1011369489">
    <w:abstractNumId w:val="26"/>
  </w:num>
  <w:num w:numId="50" w16cid:durableId="1656761059">
    <w:abstractNumId w:val="54"/>
  </w:num>
  <w:num w:numId="51" w16cid:durableId="438598588">
    <w:abstractNumId w:val="20"/>
  </w:num>
  <w:num w:numId="52" w16cid:durableId="426778300">
    <w:abstractNumId w:val="14"/>
  </w:num>
  <w:num w:numId="53" w16cid:durableId="519009444">
    <w:abstractNumId w:val="9"/>
  </w:num>
  <w:num w:numId="54" w16cid:durableId="5833649">
    <w:abstractNumId w:val="56"/>
  </w:num>
  <w:num w:numId="55" w16cid:durableId="69161061">
    <w:abstractNumId w:val="3"/>
  </w:num>
  <w:num w:numId="56" w16cid:durableId="1103644710">
    <w:abstractNumId w:val="27"/>
  </w:num>
  <w:num w:numId="57" w16cid:durableId="1201866936">
    <w:abstractNumId w:val="21"/>
  </w:num>
  <w:num w:numId="58" w16cid:durableId="154148756">
    <w:abstractNumId w:val="19"/>
  </w:num>
  <w:num w:numId="59" w16cid:durableId="580220164">
    <w:abstractNumId w:val="59"/>
  </w:num>
  <w:num w:numId="60" w16cid:durableId="1024212174">
    <w:abstractNumId w:val="36"/>
  </w:num>
  <w:num w:numId="61" w16cid:durableId="1546873783">
    <w:abstractNumId w:val="37"/>
  </w:num>
  <w:num w:numId="62" w16cid:durableId="1095903637">
    <w:abstractNumId w:val="41"/>
  </w:num>
  <w:num w:numId="63" w16cid:durableId="207425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C00"/>
    <w:rsid w:val="000016EA"/>
    <w:rsid w:val="000045DD"/>
    <w:rsid w:val="00007B69"/>
    <w:rsid w:val="00010EA9"/>
    <w:rsid w:val="000161A6"/>
    <w:rsid w:val="0002132B"/>
    <w:rsid w:val="00042104"/>
    <w:rsid w:val="00043B4E"/>
    <w:rsid w:val="00045068"/>
    <w:rsid w:val="00074F91"/>
    <w:rsid w:val="000763D9"/>
    <w:rsid w:val="00077292"/>
    <w:rsid w:val="00086FF4"/>
    <w:rsid w:val="0009680F"/>
    <w:rsid w:val="000A4691"/>
    <w:rsid w:val="000B0678"/>
    <w:rsid w:val="000C0CC3"/>
    <w:rsid w:val="000E5D2F"/>
    <w:rsid w:val="000E6296"/>
    <w:rsid w:val="000F1CF9"/>
    <w:rsid w:val="000F3553"/>
    <w:rsid w:val="000F5252"/>
    <w:rsid w:val="00100795"/>
    <w:rsid w:val="00103F32"/>
    <w:rsid w:val="001332B7"/>
    <w:rsid w:val="00133D34"/>
    <w:rsid w:val="00144700"/>
    <w:rsid w:val="001450F7"/>
    <w:rsid w:val="00147B59"/>
    <w:rsid w:val="00164FC3"/>
    <w:rsid w:val="001659E9"/>
    <w:rsid w:val="0018662A"/>
    <w:rsid w:val="0018699E"/>
    <w:rsid w:val="0019004E"/>
    <w:rsid w:val="00190118"/>
    <w:rsid w:val="0019036A"/>
    <w:rsid w:val="001912A3"/>
    <w:rsid w:val="0019579D"/>
    <w:rsid w:val="00196031"/>
    <w:rsid w:val="001A7006"/>
    <w:rsid w:val="001B0132"/>
    <w:rsid w:val="001B68ED"/>
    <w:rsid w:val="001B6F47"/>
    <w:rsid w:val="001C3177"/>
    <w:rsid w:val="001C31E5"/>
    <w:rsid w:val="001D2170"/>
    <w:rsid w:val="001D24AB"/>
    <w:rsid w:val="001D774D"/>
    <w:rsid w:val="001E2C55"/>
    <w:rsid w:val="001E395D"/>
    <w:rsid w:val="00204264"/>
    <w:rsid w:val="00222A3C"/>
    <w:rsid w:val="0022308C"/>
    <w:rsid w:val="00251202"/>
    <w:rsid w:val="00263696"/>
    <w:rsid w:val="00266831"/>
    <w:rsid w:val="0027286F"/>
    <w:rsid w:val="00275F83"/>
    <w:rsid w:val="00296D5F"/>
    <w:rsid w:val="002A22D1"/>
    <w:rsid w:val="002B1D5C"/>
    <w:rsid w:val="002D7F9A"/>
    <w:rsid w:val="0031293F"/>
    <w:rsid w:val="003149A5"/>
    <w:rsid w:val="003242E6"/>
    <w:rsid w:val="003706BA"/>
    <w:rsid w:val="00370B89"/>
    <w:rsid w:val="003A2A77"/>
    <w:rsid w:val="003A69E8"/>
    <w:rsid w:val="003B2539"/>
    <w:rsid w:val="003B7542"/>
    <w:rsid w:val="003C0DC9"/>
    <w:rsid w:val="003C203A"/>
    <w:rsid w:val="003D43BF"/>
    <w:rsid w:val="003D7C7D"/>
    <w:rsid w:val="00406ADF"/>
    <w:rsid w:val="00432D35"/>
    <w:rsid w:val="00434E93"/>
    <w:rsid w:val="00470CAB"/>
    <w:rsid w:val="00496E4C"/>
    <w:rsid w:val="004A49BC"/>
    <w:rsid w:val="004C6CDE"/>
    <w:rsid w:val="004F6AF3"/>
    <w:rsid w:val="00506CBD"/>
    <w:rsid w:val="00517585"/>
    <w:rsid w:val="00521A4F"/>
    <w:rsid w:val="00521B64"/>
    <w:rsid w:val="005226E7"/>
    <w:rsid w:val="00534FF0"/>
    <w:rsid w:val="0054083F"/>
    <w:rsid w:val="0054732C"/>
    <w:rsid w:val="00553855"/>
    <w:rsid w:val="00556C2F"/>
    <w:rsid w:val="00567F42"/>
    <w:rsid w:val="00581E1C"/>
    <w:rsid w:val="005900AE"/>
    <w:rsid w:val="00595CC4"/>
    <w:rsid w:val="00596466"/>
    <w:rsid w:val="005A7D3C"/>
    <w:rsid w:val="005C3122"/>
    <w:rsid w:val="005D3095"/>
    <w:rsid w:val="005D40E6"/>
    <w:rsid w:val="005E1847"/>
    <w:rsid w:val="005F4EF5"/>
    <w:rsid w:val="00620853"/>
    <w:rsid w:val="0063268A"/>
    <w:rsid w:val="0063473C"/>
    <w:rsid w:val="00637619"/>
    <w:rsid w:val="00645580"/>
    <w:rsid w:val="0064561D"/>
    <w:rsid w:val="006503A6"/>
    <w:rsid w:val="00653FDE"/>
    <w:rsid w:val="00654411"/>
    <w:rsid w:val="00654D3A"/>
    <w:rsid w:val="00665C28"/>
    <w:rsid w:val="006741AC"/>
    <w:rsid w:val="00674F70"/>
    <w:rsid w:val="0069159A"/>
    <w:rsid w:val="006A299E"/>
    <w:rsid w:val="006B18DC"/>
    <w:rsid w:val="006C0487"/>
    <w:rsid w:val="006C1CF2"/>
    <w:rsid w:val="006C1E63"/>
    <w:rsid w:val="006C31F0"/>
    <w:rsid w:val="006D105A"/>
    <w:rsid w:val="006E023B"/>
    <w:rsid w:val="006E63D8"/>
    <w:rsid w:val="006E6C9F"/>
    <w:rsid w:val="006E76DB"/>
    <w:rsid w:val="006F46C4"/>
    <w:rsid w:val="006F61A8"/>
    <w:rsid w:val="00710802"/>
    <w:rsid w:val="00712EE7"/>
    <w:rsid w:val="00730E46"/>
    <w:rsid w:val="00736736"/>
    <w:rsid w:val="00744540"/>
    <w:rsid w:val="00750833"/>
    <w:rsid w:val="007552D9"/>
    <w:rsid w:val="007633BD"/>
    <w:rsid w:val="007729FE"/>
    <w:rsid w:val="007762AF"/>
    <w:rsid w:val="00782B87"/>
    <w:rsid w:val="00790C2D"/>
    <w:rsid w:val="007A0804"/>
    <w:rsid w:val="007B07A0"/>
    <w:rsid w:val="007D6391"/>
    <w:rsid w:val="007F36EE"/>
    <w:rsid w:val="008020B6"/>
    <w:rsid w:val="00813234"/>
    <w:rsid w:val="00814B05"/>
    <w:rsid w:val="008167B7"/>
    <w:rsid w:val="008318DA"/>
    <w:rsid w:val="00833330"/>
    <w:rsid w:val="008429FD"/>
    <w:rsid w:val="00846BB0"/>
    <w:rsid w:val="00850DC3"/>
    <w:rsid w:val="0085161C"/>
    <w:rsid w:val="00860D08"/>
    <w:rsid w:val="0086244F"/>
    <w:rsid w:val="00864CF3"/>
    <w:rsid w:val="00876697"/>
    <w:rsid w:val="00887895"/>
    <w:rsid w:val="0089164B"/>
    <w:rsid w:val="00892DDB"/>
    <w:rsid w:val="008A320C"/>
    <w:rsid w:val="008B73A8"/>
    <w:rsid w:val="008B774F"/>
    <w:rsid w:val="008C1D4B"/>
    <w:rsid w:val="008C2F0A"/>
    <w:rsid w:val="008D26D4"/>
    <w:rsid w:val="00902800"/>
    <w:rsid w:val="00903A09"/>
    <w:rsid w:val="009053EB"/>
    <w:rsid w:val="00906A8D"/>
    <w:rsid w:val="009071A3"/>
    <w:rsid w:val="009155D0"/>
    <w:rsid w:val="00917002"/>
    <w:rsid w:val="009374C1"/>
    <w:rsid w:val="009676BC"/>
    <w:rsid w:val="00967C5E"/>
    <w:rsid w:val="009749B6"/>
    <w:rsid w:val="00980863"/>
    <w:rsid w:val="00980C6B"/>
    <w:rsid w:val="00981E26"/>
    <w:rsid w:val="00985588"/>
    <w:rsid w:val="009A5A78"/>
    <w:rsid w:val="009C7924"/>
    <w:rsid w:val="009E7F62"/>
    <w:rsid w:val="009F1A4C"/>
    <w:rsid w:val="009F200F"/>
    <w:rsid w:val="009F2507"/>
    <w:rsid w:val="00A04305"/>
    <w:rsid w:val="00A050DA"/>
    <w:rsid w:val="00A069F7"/>
    <w:rsid w:val="00A24ECA"/>
    <w:rsid w:val="00A339D3"/>
    <w:rsid w:val="00A3754C"/>
    <w:rsid w:val="00A37651"/>
    <w:rsid w:val="00A506F3"/>
    <w:rsid w:val="00A54502"/>
    <w:rsid w:val="00A61530"/>
    <w:rsid w:val="00A6295A"/>
    <w:rsid w:val="00A62BA4"/>
    <w:rsid w:val="00A72F00"/>
    <w:rsid w:val="00A84BD3"/>
    <w:rsid w:val="00A90D77"/>
    <w:rsid w:val="00A91B75"/>
    <w:rsid w:val="00A94EC8"/>
    <w:rsid w:val="00AA7118"/>
    <w:rsid w:val="00AA78B9"/>
    <w:rsid w:val="00AC6713"/>
    <w:rsid w:val="00AD0F1E"/>
    <w:rsid w:val="00AD44A9"/>
    <w:rsid w:val="00AE064D"/>
    <w:rsid w:val="00AE122E"/>
    <w:rsid w:val="00AF7DD9"/>
    <w:rsid w:val="00B2126A"/>
    <w:rsid w:val="00B32BE1"/>
    <w:rsid w:val="00B60051"/>
    <w:rsid w:val="00B6032D"/>
    <w:rsid w:val="00B64BD1"/>
    <w:rsid w:val="00B655C9"/>
    <w:rsid w:val="00B70024"/>
    <w:rsid w:val="00B73BEB"/>
    <w:rsid w:val="00B76E19"/>
    <w:rsid w:val="00BC501F"/>
    <w:rsid w:val="00BC7C2B"/>
    <w:rsid w:val="00BE1B64"/>
    <w:rsid w:val="00BE3306"/>
    <w:rsid w:val="00BF0A31"/>
    <w:rsid w:val="00BF56D1"/>
    <w:rsid w:val="00BF7794"/>
    <w:rsid w:val="00C13AEC"/>
    <w:rsid w:val="00C331CD"/>
    <w:rsid w:val="00C66E0A"/>
    <w:rsid w:val="00C94851"/>
    <w:rsid w:val="00C9762A"/>
    <w:rsid w:val="00CA4F4E"/>
    <w:rsid w:val="00CB2D55"/>
    <w:rsid w:val="00CB6EBE"/>
    <w:rsid w:val="00CD545B"/>
    <w:rsid w:val="00CE02C2"/>
    <w:rsid w:val="00CE7F30"/>
    <w:rsid w:val="00CF3268"/>
    <w:rsid w:val="00D01A6A"/>
    <w:rsid w:val="00D0748D"/>
    <w:rsid w:val="00D11680"/>
    <w:rsid w:val="00D21736"/>
    <w:rsid w:val="00D308F5"/>
    <w:rsid w:val="00D40F4B"/>
    <w:rsid w:val="00D4377D"/>
    <w:rsid w:val="00D639C9"/>
    <w:rsid w:val="00D64B81"/>
    <w:rsid w:val="00D72FF6"/>
    <w:rsid w:val="00D754D1"/>
    <w:rsid w:val="00D779B5"/>
    <w:rsid w:val="00D949BF"/>
    <w:rsid w:val="00DA0838"/>
    <w:rsid w:val="00DB2978"/>
    <w:rsid w:val="00DC0130"/>
    <w:rsid w:val="00DD0661"/>
    <w:rsid w:val="00DD4D00"/>
    <w:rsid w:val="00DE29F9"/>
    <w:rsid w:val="00DE2D33"/>
    <w:rsid w:val="00DE570C"/>
    <w:rsid w:val="00DE6587"/>
    <w:rsid w:val="00DF2316"/>
    <w:rsid w:val="00E00295"/>
    <w:rsid w:val="00E00D44"/>
    <w:rsid w:val="00E01FDF"/>
    <w:rsid w:val="00E05B55"/>
    <w:rsid w:val="00E17324"/>
    <w:rsid w:val="00E47DC9"/>
    <w:rsid w:val="00E52873"/>
    <w:rsid w:val="00E533C0"/>
    <w:rsid w:val="00E675C8"/>
    <w:rsid w:val="00E74C00"/>
    <w:rsid w:val="00E75358"/>
    <w:rsid w:val="00E761F2"/>
    <w:rsid w:val="00E77122"/>
    <w:rsid w:val="00E93D00"/>
    <w:rsid w:val="00E953C1"/>
    <w:rsid w:val="00EA4AAF"/>
    <w:rsid w:val="00EB4A1E"/>
    <w:rsid w:val="00EB5699"/>
    <w:rsid w:val="00EB5DE3"/>
    <w:rsid w:val="00EC6D10"/>
    <w:rsid w:val="00ED1AF8"/>
    <w:rsid w:val="00ED3F98"/>
    <w:rsid w:val="00ED413B"/>
    <w:rsid w:val="00ED5B65"/>
    <w:rsid w:val="00ED609B"/>
    <w:rsid w:val="00EE20C5"/>
    <w:rsid w:val="00EE49AF"/>
    <w:rsid w:val="00F03FAF"/>
    <w:rsid w:val="00F06F3A"/>
    <w:rsid w:val="00F14068"/>
    <w:rsid w:val="00F506BC"/>
    <w:rsid w:val="00F53A29"/>
    <w:rsid w:val="00F613EF"/>
    <w:rsid w:val="00F6263E"/>
    <w:rsid w:val="00F64427"/>
    <w:rsid w:val="00F66397"/>
    <w:rsid w:val="00F67A83"/>
    <w:rsid w:val="00F708A5"/>
    <w:rsid w:val="00F7200C"/>
    <w:rsid w:val="00F75384"/>
    <w:rsid w:val="00F90509"/>
    <w:rsid w:val="00FA081C"/>
    <w:rsid w:val="00FA274D"/>
    <w:rsid w:val="00FA6890"/>
    <w:rsid w:val="00FA7358"/>
    <w:rsid w:val="00FB0354"/>
    <w:rsid w:val="00FB07C4"/>
    <w:rsid w:val="00FB2119"/>
    <w:rsid w:val="00FC3986"/>
    <w:rsid w:val="00FD27C1"/>
    <w:rsid w:val="00FE08CF"/>
    <w:rsid w:val="00FE10D5"/>
    <w:rsid w:val="00FE6573"/>
    <w:rsid w:val="00FE7070"/>
    <w:rsid w:val="00FF1E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6D18E"/>
  <w15:chartTrackingRefBased/>
  <w15:docId w15:val="{AC308E19-3EBD-40C6-B1B6-C6C3E8EC6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503A6"/>
    <w:pPr>
      <w:spacing w:after="40"/>
    </w:pPr>
    <w:rPr>
      <w:rFonts w:ascii="Arial" w:hAnsi="Arial"/>
      <w:sz w:val="20"/>
    </w:rPr>
  </w:style>
  <w:style w:type="paragraph" w:styleId="Nagwek1">
    <w:name w:val="heading 1"/>
    <w:basedOn w:val="Normalny"/>
    <w:next w:val="Normalny"/>
    <w:link w:val="Nagwek1Znak"/>
    <w:uiPriority w:val="9"/>
    <w:qFormat/>
    <w:rsid w:val="00204264"/>
    <w:pPr>
      <w:keepNext/>
      <w:keepLines/>
      <w:spacing w:before="240" w:after="0"/>
      <w:outlineLvl w:val="0"/>
    </w:pPr>
    <w:rPr>
      <w:rFonts w:eastAsiaTheme="majorEastAsia" w:cstheme="majorBidi"/>
      <w:b/>
      <w:color w:val="C00000"/>
      <w:sz w:val="26"/>
      <w:szCs w:val="32"/>
    </w:rPr>
  </w:style>
  <w:style w:type="paragraph" w:styleId="Nagwek2">
    <w:name w:val="heading 2"/>
    <w:basedOn w:val="Normalny"/>
    <w:next w:val="Normalny"/>
    <w:link w:val="Nagwek2Znak"/>
    <w:uiPriority w:val="9"/>
    <w:unhideWhenUsed/>
    <w:qFormat/>
    <w:rsid w:val="00204264"/>
    <w:pPr>
      <w:keepNext/>
      <w:keepLines/>
      <w:spacing w:before="40" w:after="0"/>
      <w:outlineLvl w:val="1"/>
    </w:pPr>
    <w:rPr>
      <w:rFonts w:eastAsiaTheme="majorEastAsia" w:cstheme="majorBidi"/>
      <w:b/>
      <w:color w:val="C00000"/>
      <w:szCs w:val="26"/>
    </w:rPr>
  </w:style>
  <w:style w:type="paragraph" w:styleId="Nagwek3">
    <w:name w:val="heading 3"/>
    <w:basedOn w:val="Normalny"/>
    <w:next w:val="Normalny"/>
    <w:link w:val="Nagwek3Znak"/>
    <w:uiPriority w:val="9"/>
    <w:unhideWhenUsed/>
    <w:qFormat/>
    <w:rsid w:val="00833330"/>
    <w:pPr>
      <w:keepNext/>
      <w:keepLines/>
      <w:spacing w:before="40" w:after="0"/>
      <w:outlineLvl w:val="2"/>
    </w:pPr>
    <w:rPr>
      <w:rFonts w:eastAsiaTheme="majorEastAsia" w:cstheme="majorBidi"/>
      <w:b/>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04264"/>
    <w:rPr>
      <w:rFonts w:ascii="Arial" w:eastAsiaTheme="majorEastAsia" w:hAnsi="Arial" w:cstheme="majorBidi"/>
      <w:b/>
      <w:color w:val="C00000"/>
      <w:sz w:val="26"/>
      <w:szCs w:val="32"/>
    </w:rPr>
  </w:style>
  <w:style w:type="paragraph" w:styleId="Nagwekspisutreci">
    <w:name w:val="TOC Heading"/>
    <w:basedOn w:val="Nagwek1"/>
    <w:next w:val="Normalny"/>
    <w:uiPriority w:val="39"/>
    <w:unhideWhenUsed/>
    <w:qFormat/>
    <w:rsid w:val="00FB07C4"/>
    <w:pPr>
      <w:outlineLvl w:val="9"/>
    </w:pPr>
    <w:rPr>
      <w:lang w:eastAsia="pl-PL"/>
    </w:rPr>
  </w:style>
  <w:style w:type="paragraph" w:styleId="Akapitzlist">
    <w:name w:val="List Paragraph"/>
    <w:basedOn w:val="Normalny"/>
    <w:uiPriority w:val="34"/>
    <w:qFormat/>
    <w:rsid w:val="00FB07C4"/>
    <w:pPr>
      <w:ind w:left="720"/>
      <w:contextualSpacing/>
    </w:pPr>
  </w:style>
  <w:style w:type="paragraph" w:styleId="Spistreci1">
    <w:name w:val="toc 1"/>
    <w:basedOn w:val="Normalny"/>
    <w:next w:val="Normalny"/>
    <w:autoRedefine/>
    <w:uiPriority w:val="39"/>
    <w:unhideWhenUsed/>
    <w:rsid w:val="006741AC"/>
    <w:pPr>
      <w:tabs>
        <w:tab w:val="left" w:pos="440"/>
        <w:tab w:val="right" w:leader="dot" w:pos="6509"/>
      </w:tabs>
      <w:spacing w:after="100"/>
    </w:pPr>
    <w:rPr>
      <w:b/>
      <w:bCs/>
      <w:noProof/>
    </w:rPr>
  </w:style>
  <w:style w:type="character" w:styleId="Hipercze">
    <w:name w:val="Hyperlink"/>
    <w:basedOn w:val="Domylnaczcionkaakapitu"/>
    <w:uiPriority w:val="99"/>
    <w:unhideWhenUsed/>
    <w:rsid w:val="00FB07C4"/>
    <w:rPr>
      <w:color w:val="0563C1" w:themeColor="hyperlink"/>
      <w:u w:val="single"/>
    </w:rPr>
  </w:style>
  <w:style w:type="paragraph" w:styleId="HTML-wstpniesformatowany">
    <w:name w:val="HTML Preformatted"/>
    <w:basedOn w:val="Normalny"/>
    <w:link w:val="HTML-wstpniesformatowanyZnak"/>
    <w:uiPriority w:val="99"/>
    <w:unhideWhenUsed/>
    <w:rsid w:val="0029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Cs w:val="20"/>
      <w:lang w:eastAsia="pl-PL"/>
    </w:rPr>
  </w:style>
  <w:style w:type="character" w:customStyle="1" w:styleId="HTML-wstpniesformatowanyZnak">
    <w:name w:val="HTML - wstępnie sformatowany Znak"/>
    <w:basedOn w:val="Domylnaczcionkaakapitu"/>
    <w:link w:val="HTML-wstpniesformatowany"/>
    <w:uiPriority w:val="99"/>
    <w:rsid w:val="00296D5F"/>
    <w:rPr>
      <w:rFonts w:ascii="Courier New" w:eastAsia="Times New Roman" w:hAnsi="Courier New" w:cs="Courier New"/>
      <w:sz w:val="20"/>
      <w:szCs w:val="20"/>
      <w:lang w:eastAsia="pl-PL"/>
    </w:rPr>
  </w:style>
  <w:style w:type="character" w:customStyle="1" w:styleId="y2iqfc">
    <w:name w:val="y2iqfc"/>
    <w:basedOn w:val="Domylnaczcionkaakapitu"/>
    <w:rsid w:val="00296D5F"/>
  </w:style>
  <w:style w:type="character" w:styleId="UyteHipercze">
    <w:name w:val="FollowedHyperlink"/>
    <w:basedOn w:val="Domylnaczcionkaakapitu"/>
    <w:uiPriority w:val="99"/>
    <w:semiHidden/>
    <w:unhideWhenUsed/>
    <w:rsid w:val="00196031"/>
    <w:rPr>
      <w:color w:val="954F72" w:themeColor="followedHyperlink"/>
      <w:u w:val="single"/>
    </w:rPr>
  </w:style>
  <w:style w:type="paragraph" w:styleId="Nagwek">
    <w:name w:val="header"/>
    <w:basedOn w:val="Normalny"/>
    <w:link w:val="NagwekZnak"/>
    <w:uiPriority w:val="99"/>
    <w:unhideWhenUsed/>
    <w:rsid w:val="007A080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A0804"/>
  </w:style>
  <w:style w:type="paragraph" w:styleId="Stopka">
    <w:name w:val="footer"/>
    <w:basedOn w:val="Normalny"/>
    <w:link w:val="StopkaZnak"/>
    <w:uiPriority w:val="99"/>
    <w:unhideWhenUsed/>
    <w:rsid w:val="007A080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A0804"/>
  </w:style>
  <w:style w:type="character" w:styleId="Nierozpoznanawzmianka">
    <w:name w:val="Unresolved Mention"/>
    <w:basedOn w:val="Domylnaczcionkaakapitu"/>
    <w:uiPriority w:val="99"/>
    <w:semiHidden/>
    <w:unhideWhenUsed/>
    <w:rsid w:val="00506CBD"/>
    <w:rPr>
      <w:color w:val="605E5C"/>
      <w:shd w:val="clear" w:color="auto" w:fill="E1DFDD"/>
    </w:rPr>
  </w:style>
  <w:style w:type="character" w:customStyle="1" w:styleId="Nagwek2Znak">
    <w:name w:val="Nagłówek 2 Znak"/>
    <w:basedOn w:val="Domylnaczcionkaakapitu"/>
    <w:link w:val="Nagwek2"/>
    <w:uiPriority w:val="9"/>
    <w:rsid w:val="00204264"/>
    <w:rPr>
      <w:rFonts w:ascii="Arial" w:eastAsiaTheme="majorEastAsia" w:hAnsi="Arial" w:cstheme="majorBidi"/>
      <w:b/>
      <w:color w:val="C00000"/>
      <w:sz w:val="20"/>
      <w:szCs w:val="26"/>
    </w:rPr>
  </w:style>
  <w:style w:type="paragraph" w:styleId="Spistreci2">
    <w:name w:val="toc 2"/>
    <w:basedOn w:val="Normalny"/>
    <w:next w:val="Normalny"/>
    <w:autoRedefine/>
    <w:uiPriority w:val="39"/>
    <w:unhideWhenUsed/>
    <w:rsid w:val="00D4377D"/>
    <w:pPr>
      <w:spacing w:after="100"/>
      <w:ind w:left="200"/>
    </w:pPr>
  </w:style>
  <w:style w:type="paragraph" w:styleId="Spistreci3">
    <w:name w:val="toc 3"/>
    <w:basedOn w:val="Normalny"/>
    <w:next w:val="Normalny"/>
    <w:autoRedefine/>
    <w:uiPriority w:val="39"/>
    <w:unhideWhenUsed/>
    <w:rsid w:val="009F1A4C"/>
    <w:pPr>
      <w:spacing w:after="100"/>
      <w:ind w:left="440"/>
    </w:pPr>
    <w:rPr>
      <w:rFonts w:asciiTheme="minorHAnsi" w:eastAsiaTheme="minorEastAsia" w:hAnsiTheme="minorHAnsi" w:cs="Times New Roman"/>
      <w:sz w:val="22"/>
      <w:lang w:eastAsia="pl-PL"/>
    </w:rPr>
  </w:style>
  <w:style w:type="character" w:customStyle="1" w:styleId="gmaildefault">
    <w:name w:val="gmail_default"/>
    <w:basedOn w:val="Domylnaczcionkaakapitu"/>
    <w:rsid w:val="00750833"/>
  </w:style>
  <w:style w:type="character" w:styleId="Pogrubienie">
    <w:name w:val="Strong"/>
    <w:basedOn w:val="Domylnaczcionkaakapitu"/>
    <w:uiPriority w:val="22"/>
    <w:qFormat/>
    <w:rsid w:val="004F6AF3"/>
    <w:rPr>
      <w:b/>
      <w:bCs/>
    </w:rPr>
  </w:style>
  <w:style w:type="paragraph" w:styleId="NormalnyWeb">
    <w:name w:val="Normal (Web)"/>
    <w:basedOn w:val="Normalny"/>
    <w:uiPriority w:val="99"/>
    <w:unhideWhenUsed/>
    <w:rsid w:val="004F6AF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rsid w:val="00833330"/>
    <w:rPr>
      <w:rFonts w:ascii="Arial" w:eastAsiaTheme="majorEastAsia" w:hAnsi="Arial" w:cstheme="majorBidi"/>
      <w:b/>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125928">
      <w:bodyDiv w:val="1"/>
      <w:marLeft w:val="0"/>
      <w:marRight w:val="0"/>
      <w:marTop w:val="0"/>
      <w:marBottom w:val="0"/>
      <w:divBdr>
        <w:top w:val="none" w:sz="0" w:space="0" w:color="auto"/>
        <w:left w:val="none" w:sz="0" w:space="0" w:color="auto"/>
        <w:bottom w:val="none" w:sz="0" w:space="0" w:color="auto"/>
        <w:right w:val="none" w:sz="0" w:space="0" w:color="auto"/>
      </w:divBdr>
    </w:div>
    <w:div w:id="662318566">
      <w:bodyDiv w:val="1"/>
      <w:marLeft w:val="0"/>
      <w:marRight w:val="0"/>
      <w:marTop w:val="0"/>
      <w:marBottom w:val="0"/>
      <w:divBdr>
        <w:top w:val="none" w:sz="0" w:space="0" w:color="auto"/>
        <w:left w:val="none" w:sz="0" w:space="0" w:color="auto"/>
        <w:bottom w:val="none" w:sz="0" w:space="0" w:color="auto"/>
        <w:right w:val="none" w:sz="0" w:space="0" w:color="auto"/>
      </w:divBdr>
    </w:div>
    <w:div w:id="777994401">
      <w:bodyDiv w:val="1"/>
      <w:marLeft w:val="0"/>
      <w:marRight w:val="0"/>
      <w:marTop w:val="0"/>
      <w:marBottom w:val="0"/>
      <w:divBdr>
        <w:top w:val="none" w:sz="0" w:space="0" w:color="auto"/>
        <w:left w:val="none" w:sz="0" w:space="0" w:color="auto"/>
        <w:bottom w:val="none" w:sz="0" w:space="0" w:color="auto"/>
        <w:right w:val="none" w:sz="0" w:space="0" w:color="auto"/>
      </w:divBdr>
    </w:div>
    <w:div w:id="950551575">
      <w:bodyDiv w:val="1"/>
      <w:marLeft w:val="0"/>
      <w:marRight w:val="0"/>
      <w:marTop w:val="0"/>
      <w:marBottom w:val="0"/>
      <w:divBdr>
        <w:top w:val="none" w:sz="0" w:space="0" w:color="auto"/>
        <w:left w:val="none" w:sz="0" w:space="0" w:color="auto"/>
        <w:bottom w:val="none" w:sz="0" w:space="0" w:color="auto"/>
        <w:right w:val="none" w:sz="0" w:space="0" w:color="auto"/>
      </w:divBdr>
    </w:div>
    <w:div w:id="1560946048">
      <w:bodyDiv w:val="1"/>
      <w:marLeft w:val="0"/>
      <w:marRight w:val="0"/>
      <w:marTop w:val="0"/>
      <w:marBottom w:val="0"/>
      <w:divBdr>
        <w:top w:val="none" w:sz="0" w:space="0" w:color="auto"/>
        <w:left w:val="none" w:sz="0" w:space="0" w:color="auto"/>
        <w:bottom w:val="none" w:sz="0" w:space="0" w:color="auto"/>
        <w:right w:val="none" w:sz="0" w:space="0" w:color="auto"/>
      </w:divBdr>
    </w:div>
    <w:div w:id="182789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mzrik.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sv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igdywiecej.org/" TargetMode="External"/><Relationship Id="rId4" Type="http://schemas.openxmlformats.org/officeDocument/2006/relationships/settings" Target="settings.xml"/><Relationship Id="rId9" Type="http://schemas.openxmlformats.org/officeDocument/2006/relationships/hyperlink" Target="NASK%20Dy&#380;urnet.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F3CE3-E12E-4DF8-BF83-CBF2FAA65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2028</Words>
  <Characters>12174</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Ciszyńska</dc:creator>
  <cp:keywords/>
  <dc:description/>
  <cp:lastModifiedBy>Sylwia Ciszyńska</cp:lastModifiedBy>
  <cp:revision>3</cp:revision>
  <cp:lastPrinted>2022-06-16T22:07:00Z</cp:lastPrinted>
  <dcterms:created xsi:type="dcterms:W3CDTF">2023-06-05T10:18:00Z</dcterms:created>
  <dcterms:modified xsi:type="dcterms:W3CDTF">2023-06-05T11:46:00Z</dcterms:modified>
</cp:coreProperties>
</file>